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jc w:val="center"/>
        <w:rPr>
          <w:rFonts w:ascii="方正小标宋简体" w:eastAsia="方正小标宋简体"/>
          <w:bCs/>
          <w:sz w:val="36"/>
          <w:szCs w:val="21"/>
        </w:rPr>
      </w:pPr>
      <w:r>
        <w:rPr>
          <w:rFonts w:hint="eastAsia" w:ascii="方正小标宋简体" w:eastAsia="方正小标宋简体"/>
          <w:bCs/>
          <w:kern w:val="0"/>
          <w:sz w:val="36"/>
          <w:szCs w:val="21"/>
        </w:rPr>
        <w:t>202</w:t>
      </w:r>
      <w:r>
        <w:rPr>
          <w:rFonts w:ascii="方正小标宋简体" w:eastAsia="方正小标宋简体"/>
          <w:bCs/>
          <w:kern w:val="0"/>
          <w:sz w:val="36"/>
          <w:szCs w:val="21"/>
        </w:rPr>
        <w:t>5</w:t>
      </w:r>
      <w:r>
        <w:rPr>
          <w:rFonts w:hint="eastAsia" w:ascii="方正小标宋简体" w:eastAsia="方正小标宋简体"/>
          <w:bCs/>
          <w:kern w:val="0"/>
          <w:sz w:val="36"/>
          <w:szCs w:val="21"/>
        </w:rPr>
        <w:t>年度湖北省科学技术奖公示表（自然科学）</w:t>
      </w:r>
    </w:p>
    <w:p>
      <w:pPr>
        <w:spacing w:before="156" w:beforeLines="50" w:after="156" w:afterLines="50" w:line="400" w:lineRule="exact"/>
        <w:jc w:val="center"/>
        <w:rPr>
          <w:rFonts w:ascii="方正小标宋简体" w:eastAsia="方正小标宋简体"/>
          <w:bCs/>
          <w:sz w:val="36"/>
          <w:szCs w:val="21"/>
        </w:rPr>
      </w:pPr>
      <w:r>
        <w:rPr>
          <w:rFonts w:hint="eastAsia" w:ascii="方正仿宋_GBK" w:eastAsia="方正仿宋_GBK"/>
          <w:sz w:val="28"/>
        </w:rPr>
        <w:t>项目名称、提名者及提名意见、项目简介、代表性论文专著目录、主要完成人（完成单位）</w:t>
      </w:r>
    </w:p>
    <w:tbl>
      <w:tblPr>
        <w:tblStyle w:val="6"/>
        <w:tblW w:w="13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39"/>
        <w:gridCol w:w="1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439" w:type="dxa"/>
            <w:vAlign w:val="center"/>
          </w:tcPr>
          <w:p>
            <w:pPr>
              <w:spacing w:line="240" w:lineRule="exact"/>
              <w:jc w:val="center"/>
              <w:rPr>
                <w:rFonts w:ascii="黑体" w:hAnsi="黑体" w:eastAsia="黑体" w:cs="黑体"/>
                <w:kern w:val="0"/>
                <w:sz w:val="22"/>
                <w:szCs w:val="20"/>
              </w:rPr>
            </w:pPr>
            <w:r>
              <w:rPr>
                <w:rFonts w:hint="eastAsia" w:ascii="黑体" w:hAnsi="黑体" w:eastAsia="黑体" w:cs="黑体"/>
                <w:kern w:val="0"/>
                <w:sz w:val="22"/>
                <w:szCs w:val="20"/>
              </w:rPr>
              <w:t>项目名称</w:t>
            </w:r>
          </w:p>
        </w:tc>
        <w:tc>
          <w:tcPr>
            <w:tcW w:w="11198" w:type="dxa"/>
            <w:vAlign w:val="center"/>
          </w:tcPr>
          <w:p>
            <w:pPr>
              <w:spacing w:line="240" w:lineRule="exact"/>
              <w:jc w:val="center"/>
              <w:rPr>
                <w:rFonts w:eastAsia="宋体" w:cs="Times New Roman"/>
                <w:b/>
                <w:color w:val="262626"/>
                <w:kern w:val="0"/>
                <w:sz w:val="28"/>
                <w:szCs w:val="28"/>
                <w:shd w:val="clear" w:color="auto" w:fill="EFF6FF"/>
              </w:rPr>
            </w:pPr>
            <w:r>
              <w:rPr>
                <w:rFonts w:ascii="宋体" w:hAnsi="宋体" w:eastAsia="宋体" w:cs="宋体"/>
                <w:kern w:val="0"/>
                <w:sz w:val="22"/>
                <w:szCs w:val="22"/>
              </w:rPr>
              <w:t>基于关键分子靶点</w:t>
            </w:r>
            <w:r>
              <w:rPr>
                <w:rFonts w:hint="eastAsia" w:ascii="宋体" w:hAnsi="宋体" w:eastAsia="宋体" w:cs="宋体"/>
                <w:kern w:val="0"/>
                <w:sz w:val="22"/>
                <w:szCs w:val="22"/>
              </w:rPr>
              <w:t>的</w:t>
            </w:r>
            <w:r>
              <w:rPr>
                <w:rFonts w:ascii="宋体" w:hAnsi="宋体" w:eastAsia="宋体" w:cs="宋体"/>
                <w:kern w:val="0"/>
                <w:sz w:val="22"/>
                <w:szCs w:val="22"/>
              </w:rPr>
              <w:t>AD相关认知功能障碍的转化研究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439" w:type="dxa"/>
            <w:vAlign w:val="center"/>
          </w:tcPr>
          <w:p>
            <w:pPr>
              <w:spacing w:line="240" w:lineRule="exact"/>
              <w:jc w:val="center"/>
              <w:rPr>
                <w:rFonts w:ascii="黑体" w:hAnsi="黑体" w:eastAsia="黑体" w:cs="黑体"/>
                <w:kern w:val="0"/>
                <w:sz w:val="22"/>
                <w:szCs w:val="20"/>
              </w:rPr>
            </w:pPr>
            <w:r>
              <w:rPr>
                <w:rFonts w:hint="eastAsia" w:ascii="黑体" w:hAnsi="黑体" w:eastAsia="黑体" w:cs="黑体"/>
                <w:kern w:val="0"/>
                <w:sz w:val="22"/>
                <w:szCs w:val="20"/>
              </w:rPr>
              <w:t>提名单位</w:t>
            </w:r>
          </w:p>
        </w:tc>
        <w:tc>
          <w:tcPr>
            <w:tcW w:w="11198" w:type="dxa"/>
            <w:vAlign w:val="center"/>
          </w:tcPr>
          <w:p>
            <w:pPr>
              <w:spacing w:line="2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2"/>
                <w:szCs w:val="22"/>
                <w:lang w:val="en-US" w:eastAsia="zh-CN"/>
              </w:rPr>
              <w:t>湖北省教育厅</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3" w:hRule="atLeast"/>
          <w:jc w:val="center"/>
        </w:trPr>
        <w:tc>
          <w:tcPr>
            <w:tcW w:w="2439" w:type="dxa"/>
            <w:vAlign w:val="center"/>
          </w:tcPr>
          <w:p>
            <w:pPr>
              <w:spacing w:line="240" w:lineRule="exact"/>
              <w:jc w:val="center"/>
              <w:rPr>
                <w:rFonts w:ascii="黑体" w:hAnsi="黑体" w:eastAsia="黑体" w:cs="黑体"/>
                <w:kern w:val="0"/>
                <w:sz w:val="22"/>
                <w:szCs w:val="20"/>
              </w:rPr>
            </w:pPr>
            <w:r>
              <w:rPr>
                <w:rFonts w:hint="eastAsia" w:ascii="黑体" w:hAnsi="黑体" w:eastAsia="黑体" w:cs="黑体"/>
                <w:kern w:val="0"/>
                <w:sz w:val="22"/>
                <w:szCs w:val="20"/>
              </w:rPr>
              <w:t>提名意见</w:t>
            </w:r>
          </w:p>
        </w:tc>
        <w:tc>
          <w:tcPr>
            <w:tcW w:w="11198" w:type="dxa"/>
            <w:vAlign w:val="center"/>
          </w:tcPr>
          <w:p>
            <w:pPr>
              <w:spacing w:line="240" w:lineRule="exact"/>
              <w:ind w:firstLine="448" w:firstLineChars="200"/>
              <w:jc w:val="both"/>
              <w:rPr>
                <w:rFonts w:ascii="宋体" w:hAnsi="宋体" w:eastAsia="宋体" w:cs="宋体"/>
                <w:color w:val="000000"/>
                <w:kern w:val="0"/>
                <w:sz w:val="21"/>
                <w:szCs w:val="21"/>
                <w:lang w:bidi="ar"/>
              </w:rPr>
            </w:pPr>
            <w:r>
              <w:rPr>
                <w:rFonts w:hint="eastAsia" w:ascii="宋体" w:hAnsi="宋体" w:eastAsia="宋体" w:cs="宋体"/>
                <w:color w:val="000000"/>
                <w:spacing w:val="2"/>
                <w:kern w:val="0"/>
                <w:sz w:val="22"/>
                <w:szCs w:val="22"/>
                <w:lang w:bidi="ar"/>
              </w:rPr>
              <w:t>（</w:t>
            </w:r>
            <w:r>
              <w:rPr>
                <w:rFonts w:hint="eastAsia" w:ascii="宋体" w:hAnsi="宋体" w:eastAsia="宋体" w:cs="宋体"/>
                <w:color w:val="000000"/>
                <w:spacing w:val="2"/>
                <w:kern w:val="0"/>
                <w:sz w:val="21"/>
                <w:szCs w:val="21"/>
                <w:lang w:bidi="ar"/>
              </w:rPr>
              <w:t>不超过600字，</w:t>
            </w:r>
            <w:r>
              <w:rPr>
                <w:rFonts w:hint="eastAsia" w:ascii="宋体" w:hAnsi="宋体" w:eastAsia="宋体"/>
                <w:kern w:val="0"/>
                <w:sz w:val="21"/>
                <w:szCs w:val="21"/>
              </w:rPr>
              <w:t>根据项目创造性特点，科学技术水平和应用情况并参照相应奖类条件写明提名理由和结论性意见，并填写提名意见和提名等级。</w:t>
            </w:r>
            <w:r>
              <w:rPr>
                <w:rFonts w:hint="eastAsia" w:ascii="宋体" w:hAnsi="宋体" w:eastAsia="宋体" w:cs="宋体"/>
                <w:color w:val="000000"/>
                <w:kern w:val="0"/>
                <w:sz w:val="21"/>
                <w:szCs w:val="21"/>
                <w:lang w:bidi="ar"/>
              </w:rPr>
              <w:t>）</w:t>
            </w:r>
          </w:p>
          <w:p>
            <w:pPr>
              <w:pStyle w:val="11"/>
              <w:shd w:val="clear" w:color="auto" w:fill="FFFFFF"/>
              <w:adjustRightInd w:val="0"/>
              <w:snapToGrid w:val="0"/>
              <w:spacing w:line="360" w:lineRule="auto"/>
              <w:ind w:firstLine="420" w:firstLineChars="200"/>
              <w:rPr>
                <w:rFonts w:ascii="Times New Roman" w:hAnsi="Times New Roman" w:eastAsia="仿宋" w:cs="Times New Roman"/>
                <w:color w:val="404040"/>
                <w:sz w:val="21"/>
                <w:szCs w:val="21"/>
              </w:rPr>
            </w:pPr>
            <w:r>
              <w:rPr>
                <w:rFonts w:ascii="Times New Roman" w:hAnsi="Times New Roman" w:eastAsia="仿宋" w:cs="Times New Roman"/>
                <w:color w:val="404040"/>
                <w:sz w:val="21"/>
                <w:szCs w:val="21"/>
              </w:rPr>
              <w:t>本项目围绕阿尔茨海默病（Alzheimer's disease, AD）这一全球性重大公共卫生挑战，针对其发病机制复杂、临床治疗手段有限的现状，开展了系统性、创新性的转化研究。通过16年的持续攻关，项目取得了一系列具有重要科学价值和临床意义的原创性成果，揭示了BACE1翻译后修饰的新机制，筛选出新型BACE1抑制剂；阐明了氧化应激介导神经元损伤的机制，开发了特异性靶向的小分子化合物；发现了</w:t>
            </w:r>
            <w:r>
              <w:rPr>
                <w:rFonts w:hint="eastAsia" w:ascii="Times New Roman" w:hAnsi="Times New Roman" w:eastAsia="仿宋" w:cs="Times New Roman"/>
                <w:color w:val="404040"/>
                <w:sz w:val="21"/>
                <w:szCs w:val="21"/>
              </w:rPr>
              <w:t>AD病理过程中</w:t>
            </w:r>
            <w:r>
              <w:rPr>
                <w:rFonts w:ascii="Times New Roman" w:hAnsi="Times New Roman" w:eastAsia="仿宋" w:cs="Times New Roman"/>
                <w:color w:val="404040"/>
                <w:sz w:val="21"/>
                <w:szCs w:val="21"/>
              </w:rPr>
              <w:t>神经炎症调控的分子机制，开发了新的靶向干预方案。项目执行期间在《PNAS》、《Nature Communications》、《Journal of Alzheimer's Disease》等高水平期刊发表SCI论文70余篇，总被引500余次，研究成果被Nature Reviews Neuroscience等权威期刊专题评述，获国家发明专利3项，推动3个先导化合物进入临床前评价。团队获批国家自然科学基金项目5项，负责人担任认知与情感障碍湖北省重点实验室主任等重要学术职务。本项目通过多学科交叉融合，建立了从基础发现到临床转化的完整研究体系，不仅深化了对AD发病机制的认识，更为AD的精准诊疗提供了新的理论依据和干预策略，为开发具有自主知识产权的新型治疗药物奠定了理论基础，具有重要的科学价值和社会意义。</w:t>
            </w:r>
          </w:p>
          <w:p>
            <w:pPr>
              <w:spacing w:line="240" w:lineRule="exact"/>
              <w:jc w:val="both"/>
              <w:rPr>
                <w:rFonts w:ascii="宋体" w:hAnsi="宋体" w:eastAsia="宋体" w:cs="宋体"/>
                <w:bCs/>
                <w:color w:val="000000"/>
                <w:kern w:val="0"/>
                <w:sz w:val="22"/>
                <w:szCs w:val="22"/>
                <w:lang w:bidi="ar"/>
              </w:rPr>
            </w:pPr>
            <w:r>
              <w:rPr>
                <w:rFonts w:hint="eastAsia" w:ascii="宋体" w:hAnsi="宋体" w:eastAsia="宋体" w:cs="宋体"/>
                <w:bCs/>
                <w:color w:val="000000"/>
                <w:kern w:val="0"/>
                <w:sz w:val="22"/>
                <w:szCs w:val="22"/>
                <w:lang w:bidi="ar"/>
              </w:rPr>
              <w:t xml:space="preserve">   提名该项目为202</w:t>
            </w:r>
            <w:r>
              <w:rPr>
                <w:rFonts w:ascii="宋体" w:hAnsi="宋体" w:eastAsia="宋体" w:cs="宋体"/>
                <w:bCs/>
                <w:color w:val="000000"/>
                <w:kern w:val="0"/>
                <w:sz w:val="22"/>
                <w:szCs w:val="22"/>
                <w:lang w:bidi="ar"/>
              </w:rPr>
              <w:t>3</w:t>
            </w:r>
            <w:r>
              <w:rPr>
                <w:rFonts w:hint="eastAsia" w:ascii="宋体" w:hAnsi="宋体" w:eastAsia="宋体" w:cs="宋体"/>
                <w:bCs/>
                <w:color w:val="000000"/>
                <w:kern w:val="0"/>
                <w:sz w:val="22"/>
                <w:szCs w:val="22"/>
                <w:lang w:bidi="ar"/>
              </w:rPr>
              <w:t>年度湖北省自然科学奖</w:t>
            </w:r>
            <w:r>
              <w:rPr>
                <w:rFonts w:hint="eastAsia" w:ascii="宋体" w:hAnsi="宋体" w:eastAsia="宋体" w:cs="宋体"/>
                <w:bCs/>
                <w:color w:val="000000"/>
                <w:kern w:val="0"/>
                <w:sz w:val="22"/>
                <w:szCs w:val="22"/>
                <w:u w:val="single"/>
                <w:lang w:bidi="ar"/>
              </w:rPr>
              <w:t xml:space="preserve">    二       </w:t>
            </w:r>
            <w:r>
              <w:rPr>
                <w:rFonts w:hint="eastAsia" w:ascii="宋体" w:hAnsi="宋体" w:eastAsia="宋体" w:cs="宋体"/>
                <w:bCs/>
                <w:color w:val="000000"/>
                <w:kern w:val="0"/>
                <w:sz w:val="22"/>
                <w:szCs w:val="22"/>
                <w:lang w:bidi="ar"/>
              </w:rPr>
              <w:t>等奖</w:t>
            </w:r>
          </w:p>
          <w:p>
            <w:pPr>
              <w:spacing w:line="240" w:lineRule="exact"/>
              <w:jc w:val="both"/>
              <w:rPr>
                <w:rFonts w:ascii="宋体" w:hAnsi="宋体" w:eastAsia="宋体" w:cs="宋体"/>
                <w:bCs/>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439" w:type="dxa"/>
            <w:vAlign w:val="center"/>
          </w:tcPr>
          <w:p>
            <w:pPr>
              <w:spacing w:line="240" w:lineRule="exact"/>
              <w:jc w:val="center"/>
              <w:rPr>
                <w:kern w:val="0"/>
                <w:sz w:val="22"/>
                <w:szCs w:val="20"/>
              </w:rPr>
            </w:pPr>
            <w:r>
              <w:rPr>
                <w:rFonts w:hint="eastAsia" w:ascii="黑体" w:hAnsi="黑体" w:eastAsia="黑体" w:cs="黑体"/>
                <w:kern w:val="0"/>
                <w:sz w:val="22"/>
                <w:szCs w:val="20"/>
              </w:rPr>
              <w:t>项目简介</w:t>
            </w:r>
          </w:p>
        </w:tc>
        <w:tc>
          <w:tcPr>
            <w:tcW w:w="11198" w:type="dxa"/>
            <w:vAlign w:val="center"/>
          </w:tcPr>
          <w:p>
            <w:pPr>
              <w:pStyle w:val="4"/>
              <w:adjustRightInd w:val="0"/>
              <w:snapToGrid w:val="0"/>
              <w:spacing w:line="360" w:lineRule="auto"/>
              <w:ind w:firstLine="630" w:firstLineChars="300"/>
              <w:jc w:val="both"/>
              <w:rPr>
                <w:rFonts w:eastAsia="仿宋" w:cs="Times New Roman"/>
                <w:color w:val="404040"/>
                <w:kern w:val="0"/>
                <w:sz w:val="21"/>
                <w:szCs w:val="21"/>
              </w:rPr>
            </w:pPr>
            <w:r>
              <w:rPr>
                <w:rFonts w:eastAsia="仿宋" w:cs="Times New Roman"/>
                <w:color w:val="404040"/>
                <w:kern w:val="0"/>
                <w:sz w:val="21"/>
                <w:szCs w:val="21"/>
              </w:rPr>
              <w:t>阿尔茨海默病（Alzheimer's disease, AD）是21世纪全球公共卫生领域的重大挑战，随着人口老龄化，其发病率呈逐年上升趋势。据世界卫生组织（WHO）统计，全球AD患者已超过5000万，其中我国患者人数突破1000万，年直接医疗支出高达7000亿元人民币，造成巨大的社会经济负担。AD以进行性认知功能障碍为主要临床特征，表现为记忆减退、执行功能下降和空间定向障碍等，严重影响患者的生活质量。目前临床治疗仍以对症干预为主，缺乏有效逆转疾病进程的干预手段，究其根本在于对AD关键分子靶点的系统性调控机制认识不足，导致基础研究向临床转化缓慢。</w:t>
            </w:r>
          </w:p>
          <w:p>
            <w:pPr>
              <w:pStyle w:val="4"/>
              <w:adjustRightInd w:val="0"/>
              <w:snapToGrid w:val="0"/>
              <w:spacing w:line="360" w:lineRule="auto"/>
              <w:ind w:firstLine="420" w:firstLineChars="200"/>
              <w:jc w:val="both"/>
              <w:rPr>
                <w:rFonts w:eastAsia="仿宋" w:cs="Times New Roman"/>
                <w:color w:val="404040"/>
                <w:kern w:val="0"/>
                <w:sz w:val="21"/>
                <w:szCs w:val="21"/>
              </w:rPr>
            </w:pPr>
            <w:r>
              <w:rPr>
                <w:rFonts w:eastAsia="仿宋" w:cs="Times New Roman"/>
                <w:color w:val="404040"/>
                <w:kern w:val="0"/>
                <w:sz w:val="21"/>
                <w:szCs w:val="21"/>
              </w:rPr>
              <w:t>针对这一重大临床需求，本项目组依托认知与情感障碍湖北省重点实验室（申请人舒细记为认知与情感障碍湖北省重点实验室主任），整合分子神经生物学、药理学和临床医学等多学科优势，历时16年开展"基于关键分子靶点的AD相关认知功能障碍转化研究"。项目聚焦AD核心病理机制，主要围绕Aβ毒性、氧化应激损伤和神经炎症反应，系统性展开基础与临床转化研究，取得了一系列具有重要科学价值和临床应用前景的创新性成果。</w:t>
            </w:r>
          </w:p>
          <w:p>
            <w:pPr>
              <w:pStyle w:val="4"/>
              <w:numPr>
                <w:ilvl w:val="0"/>
                <w:numId w:val="1"/>
              </w:numPr>
              <w:adjustRightInd w:val="0"/>
              <w:snapToGrid w:val="0"/>
              <w:spacing w:line="360" w:lineRule="auto"/>
              <w:jc w:val="both"/>
              <w:rPr>
                <w:rFonts w:eastAsia="仿宋" w:cs="Times New Roman"/>
                <w:color w:val="404040"/>
                <w:kern w:val="0"/>
                <w:sz w:val="21"/>
                <w:szCs w:val="21"/>
              </w:rPr>
            </w:pPr>
            <w:r>
              <w:rPr>
                <w:rFonts w:eastAsia="仿宋" w:cs="Times New Roman"/>
                <w:color w:val="404040"/>
                <w:kern w:val="0"/>
                <w:sz w:val="21"/>
                <w:szCs w:val="21"/>
              </w:rPr>
              <w:t>基于Aβ生成的关键限速酶BACE1发现一系列对抗AD病理及认知功能障碍的天然小分子化合物和非药物干预策略</w:t>
            </w:r>
          </w:p>
          <w:p>
            <w:pPr>
              <w:pStyle w:val="4"/>
              <w:adjustRightInd w:val="0"/>
              <w:snapToGrid w:val="0"/>
              <w:spacing w:line="360" w:lineRule="auto"/>
              <w:ind w:firstLine="420" w:firstLineChars="200"/>
              <w:jc w:val="both"/>
              <w:rPr>
                <w:rFonts w:eastAsia="仿宋" w:cs="Times New Roman"/>
                <w:color w:val="404040"/>
                <w:kern w:val="0"/>
                <w:sz w:val="21"/>
                <w:szCs w:val="21"/>
              </w:rPr>
            </w:pPr>
            <w:r>
              <w:rPr>
                <w:rFonts w:eastAsia="仿宋" w:cs="Times New Roman"/>
                <w:color w:val="404040"/>
                <w:kern w:val="0"/>
                <w:sz w:val="21"/>
                <w:szCs w:val="21"/>
              </w:rPr>
              <w:t>BACE1作为Aβ生成的关键限速酶，其异常活化直接导致Aβ沉积和认知功能障碍。我们发现BACE1苏木化修饰通过竞争性抑制泛素化和磷酸化，显著增强其稳定性和酶活性（PNAS 2018; J Neurochem 2023），并揭示高脂饮食通过促进BACE1去磷酸化以及苏木化加剧Aβ聚集的新机制（J Alzheimers Dis 2022 A）。基于这些发现，项目组从药用真菌中分离鉴定出新型BACE1抑制剂Asperterpenes A/B，并证实柑橘多甲氧基黄酮Tangeretin可通过抑制BACE1活性显著改善AD模型小鼠的认知功能（J Agric Food Chem 2022）。这些成果被评价为BACE1的活性调节提供了新观点、为AD 的药物干预提供了潜在的先导化合物（Biological Psychiatry 2021; Bioorganic Chemistry 2022）。</w:t>
            </w:r>
          </w:p>
          <w:p>
            <w:pPr>
              <w:pStyle w:val="4"/>
              <w:numPr>
                <w:ilvl w:val="0"/>
                <w:numId w:val="1"/>
              </w:numPr>
              <w:adjustRightInd w:val="0"/>
              <w:snapToGrid w:val="0"/>
              <w:spacing w:line="360" w:lineRule="auto"/>
              <w:jc w:val="both"/>
              <w:rPr>
                <w:rFonts w:eastAsia="仿宋" w:cs="Times New Roman"/>
                <w:color w:val="404040"/>
                <w:kern w:val="0"/>
                <w:sz w:val="21"/>
                <w:szCs w:val="21"/>
              </w:rPr>
            </w:pPr>
            <w:r>
              <w:rPr>
                <w:rFonts w:eastAsia="仿宋" w:cs="Times New Roman"/>
                <w:color w:val="404040"/>
                <w:kern w:val="0"/>
                <w:sz w:val="21"/>
                <w:szCs w:val="21"/>
              </w:rPr>
              <w:t>针对抗氧化损伤获得AD神经保护的小分子化合物</w:t>
            </w:r>
          </w:p>
          <w:p>
            <w:pPr>
              <w:pStyle w:val="4"/>
              <w:adjustRightInd w:val="0"/>
              <w:snapToGrid w:val="0"/>
              <w:spacing w:line="360" w:lineRule="auto"/>
              <w:ind w:firstLine="420" w:firstLineChars="200"/>
              <w:jc w:val="both"/>
              <w:rPr>
                <w:rFonts w:eastAsia="仿宋" w:cs="Times New Roman"/>
                <w:color w:val="404040"/>
                <w:kern w:val="0"/>
                <w:sz w:val="21"/>
                <w:szCs w:val="21"/>
              </w:rPr>
            </w:pPr>
            <w:r>
              <w:rPr>
                <w:rFonts w:eastAsia="仿宋" w:cs="Times New Roman"/>
                <w:color w:val="404040"/>
                <w:kern w:val="0"/>
                <w:sz w:val="21"/>
                <w:szCs w:val="21"/>
              </w:rPr>
              <w:t>项目组围绕"铁死亡/氧化应激-认知障碍"，揭示环境因素（如PM2.5、酒精等）通过诱导脑内铁离子浓度异常升高、谷胱甘肽过氧化物酶4（GPX4）活性降低等途径触发铁死亡，进而导致神经元损伤和认知功能障碍；而铁螯合剂显著减少AD模型小鼠脑内Aβ沉积，改善突触可塑性与认知功能（J Alzheimers Dis 2022 B）。基于这些机制研究，项目组发现靶向GPX4的小分子化合物和诃子多酚提取物等天然抗氧化剂，其中双(7)-他克林等化合物具有显著的神经保护作用（中国医院药学杂志2012）。这些工作被Environmental Science &amp; Technology</w:t>
            </w:r>
            <w:r>
              <w:rPr>
                <w:rFonts w:hint="eastAsia" w:eastAsia="仿宋" w:cs="Times New Roman"/>
                <w:color w:val="404040"/>
                <w:kern w:val="0"/>
                <w:sz w:val="21"/>
                <w:szCs w:val="21"/>
              </w:rPr>
              <w:t>（2024）</w:t>
            </w:r>
            <w:r>
              <w:rPr>
                <w:rFonts w:eastAsia="仿宋" w:cs="Times New Roman"/>
                <w:color w:val="404040"/>
                <w:kern w:val="0"/>
                <w:sz w:val="21"/>
                <w:szCs w:val="21"/>
              </w:rPr>
              <w:t>专题评述，为AD的治疗提供了新思路。</w:t>
            </w:r>
          </w:p>
          <w:p>
            <w:pPr>
              <w:pStyle w:val="4"/>
              <w:numPr>
                <w:ilvl w:val="0"/>
                <w:numId w:val="1"/>
              </w:numPr>
              <w:adjustRightInd w:val="0"/>
              <w:snapToGrid w:val="0"/>
              <w:spacing w:line="360" w:lineRule="auto"/>
              <w:jc w:val="both"/>
              <w:rPr>
                <w:rFonts w:eastAsia="仿宋" w:cs="Times New Roman"/>
                <w:color w:val="404040"/>
                <w:kern w:val="0"/>
                <w:sz w:val="21"/>
                <w:szCs w:val="21"/>
              </w:rPr>
            </w:pPr>
            <w:r>
              <w:rPr>
                <w:rFonts w:eastAsia="仿宋" w:cs="Times New Roman"/>
                <w:color w:val="404040"/>
                <w:kern w:val="0"/>
                <w:sz w:val="21"/>
                <w:szCs w:val="21"/>
              </w:rPr>
              <w:t>发现调控炎症微环境缓解AD神经病理和认知障碍的小分子化合物</w:t>
            </w:r>
          </w:p>
          <w:p>
            <w:pPr>
              <w:adjustRightInd w:val="0"/>
              <w:snapToGrid w:val="0"/>
              <w:spacing w:line="360" w:lineRule="auto"/>
              <w:ind w:firstLine="420" w:firstLineChars="200"/>
              <w:outlineLvl w:val="2"/>
              <w:rPr>
                <w:rFonts w:eastAsia="仿宋" w:cs="Times New Roman"/>
                <w:color w:val="404040"/>
                <w:kern w:val="0"/>
                <w:sz w:val="21"/>
                <w:szCs w:val="21"/>
              </w:rPr>
            </w:pPr>
            <w:r>
              <w:rPr>
                <w:rFonts w:eastAsia="仿宋" w:cs="Times New Roman"/>
                <w:color w:val="404040"/>
                <w:kern w:val="0"/>
                <w:sz w:val="21"/>
                <w:szCs w:val="21"/>
              </w:rPr>
              <w:t>基于神经炎症相关通路和靶点在AD相关认知障碍中的关键作用，项目组发现脆弱拟杆菌（Bacteroides fragilis）通过代谢产物12-HHTrE和PGE2激活小胶质细胞，显著增加海马炎症水平（Nat Commun 2023），揭示污染物PM2.5通过外泌体诱导神经炎症和认知障碍</w:t>
            </w:r>
            <w:r>
              <w:rPr>
                <w:rFonts w:hint="eastAsia" w:eastAsia="仿宋" w:cs="Times New Roman"/>
                <w:color w:val="404040"/>
                <w:kern w:val="0"/>
                <w:sz w:val="21"/>
                <w:szCs w:val="21"/>
              </w:rPr>
              <w:t>（</w:t>
            </w:r>
            <w:r>
              <w:rPr>
                <w:rFonts w:eastAsia="仿宋" w:cs="Times New Roman"/>
                <w:color w:val="404040"/>
                <w:kern w:val="0"/>
                <w:sz w:val="21"/>
                <w:szCs w:val="21"/>
              </w:rPr>
              <w:t>Environ Toxicol 2022</w:t>
            </w:r>
            <w:r>
              <w:rPr>
                <w:rFonts w:hint="eastAsia" w:eastAsia="仿宋" w:cs="Times New Roman"/>
                <w:color w:val="404040"/>
                <w:kern w:val="0"/>
                <w:sz w:val="21"/>
                <w:szCs w:val="21"/>
              </w:rPr>
              <w:t>）</w:t>
            </w:r>
            <w:r>
              <w:rPr>
                <w:rFonts w:eastAsia="仿宋" w:cs="Times New Roman"/>
                <w:color w:val="404040"/>
                <w:kern w:val="0"/>
                <w:sz w:val="21"/>
                <w:szCs w:val="21"/>
              </w:rPr>
              <w:t>，发现高脂饮食诱导AD模型小鼠小胶质细胞内脂滴异常聚积，加剧神经炎症和AD病理（Mol Nutr Food Res 2024）。基于这些机制研究，项目组发现表没食子儿茶素没食子酸酯和党参多糖通过抑制小胶质细胞极化，缓解神经炎症，减轻Aβ沉积，改善突触可塑性，显著缓解认知障碍（Curr Med Sci 2020；Aging 2020）；间歇性禁食缓解海马区小胶质细胞过度激活，降低炎症因子水平（Mol Nutr Food Res 2025）。这些工作被Nature系列等期刊正面引用，为代谢与神经炎症间的交互作用提供了重要的证据，为AD的抗炎治疗提供了重要线索。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39" w:type="dxa"/>
            <w:vAlign w:val="center"/>
          </w:tcPr>
          <w:p>
            <w:pPr>
              <w:spacing w:line="280" w:lineRule="exact"/>
              <w:jc w:val="center"/>
              <w:rPr>
                <w:rFonts w:ascii="黑体" w:hAnsi="黑体" w:eastAsia="黑体" w:cs="黑体"/>
                <w:kern w:val="0"/>
                <w:sz w:val="22"/>
                <w:szCs w:val="20"/>
              </w:rPr>
            </w:pPr>
            <w:r>
              <w:rPr>
                <w:rFonts w:hint="eastAsia" w:ascii="黑体" w:hAnsi="黑体" w:eastAsia="黑体" w:cs="黑体"/>
                <w:kern w:val="0"/>
                <w:sz w:val="22"/>
                <w:szCs w:val="20"/>
              </w:rPr>
              <w:t>主要完成人</w:t>
            </w:r>
          </w:p>
          <w:p>
            <w:pPr>
              <w:spacing w:line="280" w:lineRule="exact"/>
              <w:jc w:val="center"/>
              <w:rPr>
                <w:kern w:val="0"/>
                <w:sz w:val="22"/>
                <w:szCs w:val="20"/>
              </w:rPr>
            </w:pPr>
            <w:r>
              <w:rPr>
                <w:rFonts w:hint="eastAsia" w:ascii="黑体" w:hAnsi="黑体" w:eastAsia="黑体" w:cs="黑体"/>
                <w:kern w:val="0"/>
                <w:sz w:val="22"/>
                <w:szCs w:val="20"/>
              </w:rPr>
              <w:t>（完成单位）</w:t>
            </w:r>
          </w:p>
        </w:tc>
        <w:tc>
          <w:tcPr>
            <w:tcW w:w="11198" w:type="dxa"/>
            <w:vAlign w:val="center"/>
          </w:tcPr>
          <w:p>
            <w:pPr>
              <w:spacing w:line="24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江汉大学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3637" w:type="dxa"/>
            <w:gridSpan w:val="2"/>
            <w:vAlign w:val="center"/>
          </w:tcPr>
          <w:tbl>
            <w:tblPr>
              <w:tblStyle w:val="6"/>
              <w:tblpPr w:leftFromText="180" w:rightFromText="180" w:vertAnchor="text" w:horzAnchor="page" w:tblpX="-13" w:tblpY="365"/>
              <w:tblOverlap w:val="never"/>
              <w:tblW w:w="13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4"/>
              <w:gridCol w:w="3854"/>
              <w:gridCol w:w="1425"/>
              <w:gridCol w:w="1817"/>
              <w:gridCol w:w="1678"/>
              <w:gridCol w:w="1679"/>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927" w:type="dxa"/>
                  <w:vAlign w:val="center"/>
                </w:tcPr>
                <w:p>
                  <w:pPr>
                    <w:pStyle w:val="4"/>
                    <w:widowControl w:val="0"/>
                    <w:adjustRightInd w:val="0"/>
                    <w:spacing w:line="240" w:lineRule="exact"/>
                    <w:rPr>
                      <w:rFonts w:eastAsia="黑体" w:cs="Times New Roman"/>
                      <w:color w:val="000000"/>
                      <w:kern w:val="2"/>
                      <w:sz w:val="18"/>
                      <w:szCs w:val="18"/>
                      <w:lang w:bidi="ar"/>
                    </w:rPr>
                  </w:pPr>
                  <w:r>
                    <w:rPr>
                      <w:rFonts w:hint="eastAsia" w:eastAsia="黑体" w:cs="Times New Roman"/>
                      <w:color w:val="000000"/>
                      <w:kern w:val="2"/>
                      <w:sz w:val="18"/>
                      <w:szCs w:val="18"/>
                      <w:lang w:bidi="ar"/>
                    </w:rPr>
                    <w:t>序号</w:t>
                  </w:r>
                </w:p>
              </w:tc>
              <w:tc>
                <w:tcPr>
                  <w:tcW w:w="3888" w:type="dxa"/>
                  <w:vAlign w:val="center"/>
                </w:tcPr>
                <w:p>
                  <w:pPr>
                    <w:rPr>
                      <w:rFonts w:eastAsia="黑体" w:cs="Times New Roman"/>
                      <w:color w:val="000000"/>
                      <w:kern w:val="2"/>
                      <w:sz w:val="18"/>
                      <w:szCs w:val="18"/>
                      <w:lang w:bidi="ar"/>
                    </w:rPr>
                  </w:pPr>
                  <w:r>
                    <w:rPr>
                      <w:rFonts w:hint="eastAsia" w:eastAsia="黑体" w:cs="Times New Roman"/>
                      <w:color w:val="000000"/>
                      <w:kern w:val="2"/>
                      <w:sz w:val="18"/>
                      <w:szCs w:val="18"/>
                      <w:lang w:bidi="ar"/>
                    </w:rPr>
                    <w:t>论文（专著）名称/刊名/作者</w:t>
                  </w:r>
                </w:p>
              </w:tc>
              <w:tc>
                <w:tcPr>
                  <w:tcW w:w="1276" w:type="dxa"/>
                  <w:vAlign w:val="center"/>
                </w:tcPr>
                <w:p>
                  <w:pPr>
                    <w:rPr>
                      <w:rFonts w:eastAsia="黑体" w:cs="Times New Roman"/>
                      <w:color w:val="000000"/>
                      <w:kern w:val="2"/>
                      <w:sz w:val="18"/>
                      <w:szCs w:val="18"/>
                      <w:lang w:bidi="ar"/>
                    </w:rPr>
                  </w:pPr>
                  <w:r>
                    <w:rPr>
                      <w:rFonts w:hint="eastAsia" w:eastAsia="黑体" w:cs="Times New Roman"/>
                      <w:color w:val="000000"/>
                      <w:kern w:val="2"/>
                      <w:sz w:val="18"/>
                      <w:szCs w:val="18"/>
                      <w:lang w:bidi="ar"/>
                    </w:rPr>
                    <w:t>年、卷、页码</w:t>
                  </w:r>
                </w:p>
              </w:tc>
              <w:tc>
                <w:tcPr>
                  <w:tcW w:w="1842" w:type="dxa"/>
                  <w:vAlign w:val="center"/>
                </w:tcPr>
                <w:p>
                  <w:pPr>
                    <w:rPr>
                      <w:rFonts w:eastAsia="黑体" w:cs="Times New Roman"/>
                      <w:color w:val="000000"/>
                      <w:kern w:val="2"/>
                      <w:sz w:val="18"/>
                      <w:szCs w:val="18"/>
                      <w:lang w:bidi="ar"/>
                    </w:rPr>
                  </w:pPr>
                  <w:r>
                    <w:rPr>
                      <w:rFonts w:hint="eastAsia" w:eastAsia="黑体" w:cs="Times New Roman"/>
                      <w:color w:val="000000"/>
                      <w:kern w:val="2"/>
                      <w:sz w:val="18"/>
                      <w:szCs w:val="18"/>
                      <w:lang w:bidi="ar"/>
                    </w:rPr>
                    <w:t>发表时间（年月日）</w:t>
                  </w:r>
                </w:p>
              </w:tc>
              <w:tc>
                <w:tcPr>
                  <w:tcW w:w="1701" w:type="dxa"/>
                  <w:vAlign w:val="center"/>
                </w:tcPr>
                <w:p>
                  <w:pPr>
                    <w:rPr>
                      <w:rFonts w:eastAsia="黑体" w:cs="Times New Roman"/>
                      <w:color w:val="000000"/>
                      <w:kern w:val="2"/>
                      <w:sz w:val="18"/>
                      <w:szCs w:val="18"/>
                      <w:lang w:bidi="ar"/>
                    </w:rPr>
                  </w:pPr>
                  <w:r>
                    <w:rPr>
                      <w:rFonts w:hint="eastAsia" w:eastAsia="黑体" w:cs="Times New Roman"/>
                      <w:color w:val="000000"/>
                      <w:kern w:val="2"/>
                      <w:sz w:val="18"/>
                      <w:szCs w:val="18"/>
                      <w:lang w:bidi="ar"/>
                    </w:rPr>
                    <w:t>通讯作者（含共同）</w:t>
                  </w:r>
                </w:p>
              </w:tc>
              <w:tc>
                <w:tcPr>
                  <w:tcW w:w="1701" w:type="dxa"/>
                  <w:vAlign w:val="center"/>
                </w:tcPr>
                <w:p>
                  <w:pPr>
                    <w:rPr>
                      <w:rFonts w:eastAsia="黑体" w:cs="Times New Roman"/>
                      <w:color w:val="000000"/>
                      <w:kern w:val="2"/>
                      <w:sz w:val="18"/>
                      <w:szCs w:val="18"/>
                      <w:lang w:bidi="ar"/>
                    </w:rPr>
                  </w:pPr>
                  <w:r>
                    <w:rPr>
                      <w:rFonts w:hint="eastAsia" w:eastAsia="黑体" w:cs="Times New Roman"/>
                      <w:color w:val="000000"/>
                      <w:kern w:val="2"/>
                      <w:sz w:val="18"/>
                      <w:szCs w:val="18"/>
                      <w:lang w:bidi="ar"/>
                    </w:rPr>
                    <w:t>第一作者（含共同）</w:t>
                  </w:r>
                </w:p>
              </w:tc>
              <w:tc>
                <w:tcPr>
                  <w:tcW w:w="2282" w:type="dxa"/>
                  <w:vAlign w:val="center"/>
                </w:tcPr>
                <w:p>
                  <w:pPr>
                    <w:rPr>
                      <w:rFonts w:eastAsia="黑体" w:cs="Times New Roman"/>
                      <w:color w:val="000000"/>
                      <w:kern w:val="2"/>
                      <w:sz w:val="18"/>
                      <w:szCs w:val="18"/>
                      <w:lang w:bidi="ar"/>
                    </w:rPr>
                  </w:pPr>
                  <w:r>
                    <w:rPr>
                      <w:rFonts w:hint="eastAsia" w:eastAsia="黑体" w:cs="Times New Roman"/>
                      <w:color w:val="000000"/>
                      <w:kern w:val="2"/>
                      <w:sz w:val="18"/>
                      <w:szCs w:val="18"/>
                      <w:lang w:bidi="ar"/>
                    </w:rPr>
                    <w:t>国内作者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927" w:type="dxa"/>
                  <w:vAlign w:val="center"/>
                </w:tcPr>
                <w:p>
                  <w:pPr>
                    <w:pStyle w:val="4"/>
                    <w:widowControl w:val="0"/>
                    <w:adjustRightInd w:val="0"/>
                    <w:spacing w:line="240" w:lineRule="exact"/>
                    <w:outlineLvl w:val="1"/>
                    <w:rPr>
                      <w:rFonts w:eastAsia="黑体" w:cs="Times New Roman"/>
                      <w:color w:val="000000"/>
                      <w:kern w:val="0"/>
                      <w:sz w:val="18"/>
                      <w:szCs w:val="18"/>
                      <w:lang w:bidi="ar"/>
                    </w:rPr>
                  </w:pPr>
                  <w:r>
                    <w:rPr>
                      <w:rFonts w:hint="eastAsia" w:eastAsia="黑体" w:cs="Times New Roman"/>
                      <w:color w:val="000000"/>
                      <w:kern w:val="0"/>
                      <w:sz w:val="18"/>
                      <w:szCs w:val="18"/>
                      <w:lang w:bidi="ar"/>
                    </w:rPr>
                    <w:t>1</w:t>
                  </w:r>
                </w:p>
              </w:tc>
              <w:tc>
                <w:tcPr>
                  <w:tcW w:w="3888" w:type="dxa"/>
                  <w:vAlign w:val="center"/>
                </w:tcPr>
                <w:p>
                  <w:pPr>
                    <w:pStyle w:val="4"/>
                    <w:widowControl w:val="0"/>
                    <w:adjustRightInd w:val="0"/>
                    <w:spacing w:line="240" w:lineRule="exact"/>
                    <w:outlineLvl w:val="1"/>
                    <w:rPr>
                      <w:rFonts w:eastAsia="黑体" w:cs="Times New Roman"/>
                      <w:color w:val="000000"/>
                      <w:kern w:val="0"/>
                      <w:sz w:val="18"/>
                      <w:szCs w:val="18"/>
                      <w:lang w:bidi="ar"/>
                    </w:rPr>
                  </w:pPr>
                  <w:r>
                    <w:rPr>
                      <w:rFonts w:eastAsia="黑体" w:cs="Times New Roman"/>
                      <w:color w:val="000000"/>
                      <w:kern w:val="2"/>
                      <w:sz w:val="18"/>
                      <w:szCs w:val="18"/>
                      <w:lang w:bidi="ar"/>
                    </w:rPr>
                    <w:t>High Fat Diet Mediates Amyloid-β Cleaving Enzyme 1 Phosphorylation and SUMOylation, Enhancing Cognitive Impairment in APP/PS1 Mice. J Alzheimers Dis</w:t>
                  </w:r>
                  <w:r>
                    <w:rPr>
                      <w:rFonts w:hint="eastAsia" w:eastAsia="黑体" w:cs="Times New Roman"/>
                      <w:color w:val="000000"/>
                      <w:kern w:val="2"/>
                      <w:sz w:val="18"/>
                      <w:szCs w:val="18"/>
                      <w:lang w:bidi="ar"/>
                    </w:rPr>
                    <w:t xml:space="preserve">. </w:t>
                  </w:r>
                  <w:r>
                    <w:rPr>
                      <w:rFonts w:eastAsia="黑体" w:cs="Times New Roman"/>
                      <w:color w:val="000000"/>
                      <w:kern w:val="2"/>
                      <w:sz w:val="18"/>
                      <w:szCs w:val="18"/>
                      <w:lang w:bidi="ar"/>
                    </w:rPr>
                    <w:t>Bao J, Liang Z, Gong XK, Yu J, Xiao YF, Liu W, Wang XC, Wang JZ, Shu X.</w:t>
                  </w:r>
                </w:p>
              </w:tc>
              <w:tc>
                <w:tcPr>
                  <w:tcW w:w="1276" w:type="dxa"/>
                  <w:vAlign w:val="center"/>
                </w:tcPr>
                <w:p>
                  <w:pPr>
                    <w:pStyle w:val="4"/>
                    <w:widowControl w:val="0"/>
                    <w:adjustRightInd w:val="0"/>
                    <w:spacing w:line="240" w:lineRule="exact"/>
                    <w:outlineLvl w:val="1"/>
                    <w:rPr>
                      <w:rFonts w:eastAsia="黑体" w:cs="Times New Roman"/>
                      <w:color w:val="000000"/>
                      <w:kern w:val="0"/>
                      <w:sz w:val="18"/>
                      <w:szCs w:val="18"/>
                      <w:lang w:bidi="ar"/>
                    </w:rPr>
                  </w:pPr>
                  <w:r>
                    <w:rPr>
                      <w:rFonts w:eastAsia="黑体" w:cs="Times New Roman"/>
                      <w:color w:val="000000"/>
                      <w:kern w:val="2"/>
                      <w:sz w:val="18"/>
                      <w:szCs w:val="18"/>
                      <w:lang w:bidi="ar"/>
                    </w:rPr>
                    <w:t>2022</w:t>
                  </w:r>
                  <w:r>
                    <w:rPr>
                      <w:rFonts w:hint="eastAsia" w:eastAsia="黑体" w:cs="Times New Roman"/>
                      <w:color w:val="000000"/>
                      <w:kern w:val="2"/>
                      <w:sz w:val="18"/>
                      <w:szCs w:val="18"/>
                      <w:lang w:bidi="ar"/>
                    </w:rPr>
                    <w:t>.</w:t>
                  </w:r>
                  <w:r>
                    <w:rPr>
                      <w:rFonts w:eastAsia="黑体" w:cs="Times New Roman"/>
                      <w:color w:val="000000"/>
                      <w:kern w:val="2"/>
                      <w:sz w:val="18"/>
                      <w:szCs w:val="18"/>
                      <w:lang w:bidi="ar"/>
                    </w:rPr>
                    <w:t>85: 863-876</w:t>
                  </w:r>
                </w:p>
              </w:tc>
              <w:tc>
                <w:tcPr>
                  <w:tcW w:w="1842" w:type="dxa"/>
                  <w:vAlign w:val="center"/>
                </w:tcPr>
                <w:p>
                  <w:pPr>
                    <w:pStyle w:val="4"/>
                    <w:widowControl w:val="0"/>
                    <w:adjustRightInd w:val="0"/>
                    <w:spacing w:line="240" w:lineRule="exact"/>
                    <w:outlineLvl w:val="1"/>
                    <w:rPr>
                      <w:rFonts w:eastAsia="黑体" w:cs="Times New Roman"/>
                      <w:color w:val="000000"/>
                      <w:kern w:val="0"/>
                      <w:sz w:val="18"/>
                      <w:szCs w:val="18"/>
                      <w:lang w:bidi="ar"/>
                    </w:rPr>
                  </w:pPr>
                  <w:r>
                    <w:rPr>
                      <w:rFonts w:hint="eastAsia" w:eastAsia="黑体" w:cs="Times New Roman"/>
                      <w:color w:val="000000"/>
                      <w:kern w:val="2"/>
                      <w:sz w:val="18"/>
                      <w:szCs w:val="18"/>
                      <w:lang w:bidi="ar"/>
                    </w:rPr>
                    <w:t>2022年1月27日</w:t>
                  </w:r>
                </w:p>
              </w:tc>
              <w:tc>
                <w:tcPr>
                  <w:tcW w:w="1701" w:type="dxa"/>
                  <w:vAlign w:val="center"/>
                </w:tcPr>
                <w:p>
                  <w:pPr>
                    <w:pStyle w:val="4"/>
                    <w:widowControl w:val="0"/>
                    <w:adjustRightInd w:val="0"/>
                    <w:spacing w:line="240" w:lineRule="exact"/>
                    <w:outlineLvl w:val="1"/>
                    <w:rPr>
                      <w:rFonts w:ascii="仿宋" w:hAnsi="仿宋" w:eastAsia="仿宋" w:cs="Times New Roman"/>
                      <w:color w:val="000000"/>
                      <w:kern w:val="0"/>
                      <w:sz w:val="18"/>
                      <w:szCs w:val="18"/>
                      <w:lang w:bidi="ar"/>
                    </w:rPr>
                  </w:pPr>
                  <w:r>
                    <w:rPr>
                      <w:rFonts w:hint="eastAsia" w:ascii="仿宋" w:hAnsi="仿宋" w:eastAsia="仿宋" w:cs="Times New Roman"/>
                      <w:color w:val="000000"/>
                      <w:kern w:val="2"/>
                      <w:sz w:val="18"/>
                      <w:szCs w:val="18"/>
                      <w:lang w:bidi="ar"/>
                    </w:rPr>
                    <w:t>包建</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舒细记</w:t>
                  </w:r>
                </w:p>
              </w:tc>
              <w:tc>
                <w:tcPr>
                  <w:tcW w:w="1701" w:type="dxa"/>
                  <w:vAlign w:val="center"/>
                </w:tcPr>
                <w:p>
                  <w:pPr>
                    <w:pStyle w:val="4"/>
                    <w:widowControl w:val="0"/>
                    <w:adjustRightInd w:val="0"/>
                    <w:spacing w:line="240" w:lineRule="exact"/>
                    <w:outlineLvl w:val="1"/>
                    <w:rPr>
                      <w:rFonts w:ascii="仿宋" w:hAnsi="仿宋" w:eastAsia="仿宋" w:cs="Times New Roman"/>
                      <w:color w:val="000000"/>
                      <w:kern w:val="0"/>
                      <w:sz w:val="18"/>
                      <w:szCs w:val="18"/>
                      <w:lang w:bidi="ar"/>
                    </w:rPr>
                  </w:pPr>
                  <w:r>
                    <w:rPr>
                      <w:rFonts w:hint="eastAsia" w:ascii="仿宋" w:hAnsi="仿宋" w:eastAsia="仿宋" w:cs="Times New Roman"/>
                      <w:color w:val="000000"/>
                      <w:kern w:val="2"/>
                      <w:sz w:val="18"/>
                      <w:szCs w:val="18"/>
                      <w:lang w:bidi="ar"/>
                    </w:rPr>
                    <w:t>包建，梁征</w:t>
                  </w:r>
                </w:p>
              </w:tc>
              <w:tc>
                <w:tcPr>
                  <w:tcW w:w="2282" w:type="dxa"/>
                  <w:vAlign w:val="center"/>
                </w:tcPr>
                <w:p>
                  <w:pPr>
                    <w:pStyle w:val="4"/>
                    <w:widowControl w:val="0"/>
                    <w:adjustRightInd w:val="0"/>
                    <w:spacing w:line="240" w:lineRule="exact"/>
                    <w:outlineLvl w:val="1"/>
                    <w:rPr>
                      <w:rFonts w:ascii="仿宋" w:hAnsi="仿宋" w:eastAsia="仿宋" w:cs="Times New Roman"/>
                      <w:color w:val="000000"/>
                      <w:kern w:val="0"/>
                      <w:sz w:val="18"/>
                      <w:szCs w:val="18"/>
                      <w:lang w:bidi="ar"/>
                    </w:rPr>
                  </w:pPr>
                  <w:r>
                    <w:rPr>
                      <w:rFonts w:hint="eastAsia" w:ascii="仿宋" w:hAnsi="仿宋" w:eastAsia="仿宋" w:cs="Times New Roman"/>
                      <w:color w:val="000000"/>
                      <w:kern w:val="2"/>
                      <w:sz w:val="18"/>
                      <w:szCs w:val="18"/>
                      <w:lang w:bidi="ar"/>
                    </w:rPr>
                    <w:t>包建，梁征</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龚晓康，于晶</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肖一帆</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柳威</w:t>
                  </w:r>
                  <w:r>
                    <w:rPr>
                      <w:rFonts w:ascii="仿宋" w:hAnsi="仿宋" w:eastAsia="仿宋" w:cs="Times New Roman"/>
                      <w:color w:val="000000"/>
                      <w:kern w:val="2"/>
                      <w:sz w:val="18"/>
                      <w:szCs w:val="18"/>
                      <w:lang w:bidi="ar"/>
                    </w:rPr>
                    <w:t>,</w:t>
                  </w:r>
                  <w:r>
                    <w:rPr>
                      <w:rFonts w:hint="eastAsia" w:ascii="仿宋" w:hAnsi="仿宋" w:eastAsia="仿宋" w:cs="Times New Roman"/>
                      <w:color w:val="000000"/>
                      <w:kern w:val="2"/>
                      <w:sz w:val="18"/>
                      <w:szCs w:val="18"/>
                      <w:lang w:bidi="ar"/>
                    </w:rPr>
                    <w:t xml:space="preserve"> 王小川，王建枝</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舒细记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927" w:type="dxa"/>
                  <w:vAlign w:val="center"/>
                </w:tcPr>
                <w:p>
                  <w:pPr>
                    <w:pStyle w:val="4"/>
                    <w:widowControl w:val="0"/>
                    <w:adjustRightInd w:val="0"/>
                    <w:spacing w:line="240" w:lineRule="exact"/>
                    <w:outlineLvl w:val="1"/>
                    <w:rPr>
                      <w:rFonts w:eastAsia="黑体" w:cs="Times New Roman"/>
                      <w:color w:val="000000"/>
                      <w:kern w:val="2"/>
                      <w:sz w:val="18"/>
                      <w:szCs w:val="18"/>
                      <w:lang w:bidi="ar"/>
                    </w:rPr>
                  </w:pPr>
                  <w:r>
                    <w:rPr>
                      <w:rFonts w:hint="eastAsia" w:eastAsia="黑体" w:cs="Times New Roman"/>
                      <w:color w:val="000000"/>
                      <w:kern w:val="2"/>
                      <w:sz w:val="18"/>
                      <w:szCs w:val="18"/>
                      <w:lang w:bidi="ar"/>
                    </w:rPr>
                    <w:t>2</w:t>
                  </w:r>
                </w:p>
              </w:tc>
              <w:tc>
                <w:tcPr>
                  <w:tcW w:w="3888" w:type="dxa"/>
                  <w:vAlign w:val="center"/>
                </w:tcPr>
                <w:p>
                  <w:pPr>
                    <w:pStyle w:val="4"/>
                    <w:widowControl w:val="0"/>
                    <w:adjustRightInd w:val="0"/>
                    <w:spacing w:line="240" w:lineRule="exact"/>
                    <w:outlineLvl w:val="1"/>
                    <w:rPr>
                      <w:rFonts w:eastAsia="黑体" w:cs="Times New Roman"/>
                      <w:color w:val="000000"/>
                      <w:kern w:val="2"/>
                      <w:sz w:val="18"/>
                      <w:szCs w:val="18"/>
                      <w:lang w:bidi="ar"/>
                    </w:rPr>
                  </w:pPr>
                  <w:r>
                    <w:rPr>
                      <w:rFonts w:eastAsia="黑体" w:cs="Times New Roman"/>
                      <w:color w:val="000000"/>
                      <w:kern w:val="2"/>
                      <w:sz w:val="18"/>
                      <w:szCs w:val="18"/>
                      <w:lang w:bidi="ar"/>
                    </w:rPr>
                    <w:t>Tangeretin Inhibits BACE1 Activity and Attenuates Cognitive Impairments in AD Model Mice. J Agric Food Chem. Bao J, Liang Z, Gong X, Zhao Y, Wu M, Liu W, Tu C, Wang X, Shu X.</w:t>
                  </w:r>
                </w:p>
              </w:tc>
              <w:tc>
                <w:tcPr>
                  <w:tcW w:w="1276" w:type="dxa"/>
                  <w:vAlign w:val="center"/>
                </w:tcPr>
                <w:p>
                  <w:pPr>
                    <w:pStyle w:val="4"/>
                    <w:widowControl w:val="0"/>
                    <w:adjustRightInd w:val="0"/>
                    <w:spacing w:line="240" w:lineRule="exact"/>
                    <w:outlineLvl w:val="1"/>
                    <w:rPr>
                      <w:rFonts w:eastAsia="黑体" w:cs="Times New Roman"/>
                      <w:color w:val="000000"/>
                      <w:kern w:val="2"/>
                      <w:sz w:val="18"/>
                      <w:szCs w:val="18"/>
                      <w:lang w:bidi="ar"/>
                    </w:rPr>
                  </w:pPr>
                  <w:r>
                    <w:rPr>
                      <w:rFonts w:hint="eastAsia" w:eastAsia="黑体" w:cs="Times New Roman"/>
                      <w:color w:val="000000"/>
                      <w:kern w:val="2"/>
                      <w:sz w:val="18"/>
                      <w:szCs w:val="18"/>
                      <w:lang w:bidi="ar"/>
                    </w:rPr>
                    <w:t>2022.</w:t>
                  </w:r>
                  <w:r>
                    <w:rPr>
                      <w:rFonts w:eastAsia="黑体" w:cs="Times New Roman"/>
                      <w:color w:val="000000"/>
                      <w:kern w:val="2"/>
                      <w:sz w:val="18"/>
                      <w:szCs w:val="18"/>
                      <w:lang w:bidi="ar"/>
                    </w:rPr>
                    <w:t>70</w:t>
                  </w:r>
                  <w:r>
                    <w:rPr>
                      <w:rFonts w:hint="eastAsia" w:eastAsia="黑体" w:cs="Times New Roman"/>
                      <w:color w:val="000000"/>
                      <w:kern w:val="2"/>
                      <w:sz w:val="18"/>
                      <w:szCs w:val="18"/>
                      <w:lang w:bidi="ar"/>
                    </w:rPr>
                    <w:t>:</w:t>
                  </w:r>
                  <w:r>
                    <w:rPr>
                      <w:rFonts w:eastAsia="黑体" w:cs="Times New Roman"/>
                      <w:color w:val="000000"/>
                      <w:kern w:val="2"/>
                      <w:sz w:val="18"/>
                      <w:szCs w:val="18"/>
                      <w:lang w:bidi="ar"/>
                    </w:rPr>
                    <w:t>1536-1546</w:t>
                  </w:r>
                </w:p>
              </w:tc>
              <w:tc>
                <w:tcPr>
                  <w:tcW w:w="1842" w:type="dxa"/>
                  <w:vAlign w:val="center"/>
                </w:tcPr>
                <w:p>
                  <w:pPr>
                    <w:pStyle w:val="4"/>
                    <w:widowControl w:val="0"/>
                    <w:adjustRightInd w:val="0"/>
                    <w:spacing w:line="240" w:lineRule="exact"/>
                    <w:outlineLvl w:val="1"/>
                    <w:rPr>
                      <w:rFonts w:eastAsia="黑体" w:cs="Times New Roman"/>
                      <w:color w:val="000000"/>
                      <w:kern w:val="2"/>
                      <w:sz w:val="18"/>
                      <w:szCs w:val="18"/>
                      <w:lang w:bidi="ar"/>
                    </w:rPr>
                  </w:pPr>
                  <w:r>
                    <w:rPr>
                      <w:rFonts w:hint="eastAsia" w:eastAsia="黑体" w:cs="Times New Roman"/>
                      <w:color w:val="000000"/>
                      <w:kern w:val="2"/>
                      <w:sz w:val="18"/>
                      <w:szCs w:val="18"/>
                      <w:lang w:bidi="ar"/>
                    </w:rPr>
                    <w:t>2022年</w:t>
                  </w:r>
                  <w:r>
                    <w:rPr>
                      <w:rFonts w:eastAsia="黑体" w:cs="Times New Roman"/>
                      <w:color w:val="000000"/>
                      <w:kern w:val="2"/>
                      <w:sz w:val="18"/>
                      <w:szCs w:val="18"/>
                      <w:lang w:bidi="ar"/>
                    </w:rPr>
                    <w:t>2</w:t>
                  </w:r>
                  <w:r>
                    <w:rPr>
                      <w:rFonts w:hint="eastAsia" w:eastAsia="黑体" w:cs="Times New Roman"/>
                      <w:color w:val="000000"/>
                      <w:kern w:val="2"/>
                      <w:sz w:val="18"/>
                      <w:szCs w:val="18"/>
                      <w:lang w:bidi="ar"/>
                    </w:rPr>
                    <w:t>月</w:t>
                  </w:r>
                  <w:r>
                    <w:rPr>
                      <w:rFonts w:eastAsia="黑体" w:cs="Times New Roman"/>
                      <w:color w:val="000000"/>
                      <w:kern w:val="2"/>
                      <w:sz w:val="18"/>
                      <w:szCs w:val="18"/>
                      <w:lang w:bidi="ar"/>
                    </w:rPr>
                    <w:t>9</w:t>
                  </w:r>
                  <w:r>
                    <w:rPr>
                      <w:rFonts w:hint="eastAsia" w:eastAsia="黑体" w:cs="Times New Roman"/>
                      <w:color w:val="000000"/>
                      <w:kern w:val="2"/>
                      <w:sz w:val="18"/>
                      <w:szCs w:val="18"/>
                      <w:lang w:bidi="ar"/>
                    </w:rPr>
                    <w:t>日</w:t>
                  </w:r>
                </w:p>
              </w:tc>
              <w:tc>
                <w:tcPr>
                  <w:tcW w:w="1701" w:type="dxa"/>
                  <w:vAlign w:val="center"/>
                </w:tcPr>
                <w:p>
                  <w:pPr>
                    <w:pStyle w:val="4"/>
                    <w:widowControl w:val="0"/>
                    <w:adjustRightInd w:val="0"/>
                    <w:spacing w:line="240" w:lineRule="exact"/>
                    <w:outlineLvl w:val="1"/>
                    <w:rPr>
                      <w:rFonts w:ascii="仿宋" w:hAnsi="仿宋" w:eastAsia="仿宋" w:cs="Times New Roman"/>
                      <w:color w:val="000000"/>
                      <w:kern w:val="2"/>
                      <w:sz w:val="18"/>
                      <w:szCs w:val="18"/>
                      <w:lang w:bidi="ar"/>
                    </w:rPr>
                  </w:pPr>
                  <w:r>
                    <w:rPr>
                      <w:rFonts w:hint="eastAsia" w:ascii="仿宋" w:hAnsi="仿宋" w:eastAsia="仿宋" w:cs="Times New Roman"/>
                      <w:color w:val="000000"/>
                      <w:kern w:val="2"/>
                      <w:sz w:val="18"/>
                      <w:szCs w:val="18"/>
                      <w:lang w:bidi="ar"/>
                    </w:rPr>
                    <w:t>包建</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舒细记</w:t>
                  </w:r>
                </w:p>
              </w:tc>
              <w:tc>
                <w:tcPr>
                  <w:tcW w:w="1701" w:type="dxa"/>
                  <w:vAlign w:val="center"/>
                </w:tcPr>
                <w:p>
                  <w:pPr>
                    <w:pStyle w:val="4"/>
                    <w:widowControl w:val="0"/>
                    <w:adjustRightInd w:val="0"/>
                    <w:spacing w:line="240" w:lineRule="exact"/>
                    <w:outlineLvl w:val="1"/>
                    <w:rPr>
                      <w:rFonts w:ascii="仿宋" w:hAnsi="仿宋" w:eastAsia="仿宋" w:cs="Times New Roman"/>
                      <w:color w:val="000000"/>
                      <w:kern w:val="2"/>
                      <w:sz w:val="18"/>
                      <w:szCs w:val="18"/>
                      <w:lang w:bidi="ar"/>
                    </w:rPr>
                  </w:pPr>
                  <w:r>
                    <w:rPr>
                      <w:rFonts w:hint="eastAsia" w:ascii="仿宋" w:hAnsi="仿宋" w:eastAsia="仿宋" w:cs="Times New Roman"/>
                      <w:color w:val="000000"/>
                      <w:kern w:val="2"/>
                      <w:sz w:val="18"/>
                      <w:szCs w:val="18"/>
                      <w:lang w:bidi="ar"/>
                    </w:rPr>
                    <w:t>包建，梁征</w:t>
                  </w:r>
                </w:p>
              </w:tc>
              <w:tc>
                <w:tcPr>
                  <w:tcW w:w="2282" w:type="dxa"/>
                  <w:vAlign w:val="center"/>
                </w:tcPr>
                <w:p>
                  <w:pPr>
                    <w:pStyle w:val="4"/>
                    <w:widowControl w:val="0"/>
                    <w:adjustRightInd w:val="0"/>
                    <w:spacing w:line="240" w:lineRule="exact"/>
                    <w:outlineLvl w:val="1"/>
                    <w:rPr>
                      <w:rFonts w:ascii="仿宋" w:hAnsi="仿宋" w:eastAsia="仿宋" w:cs="Times New Roman"/>
                      <w:color w:val="000000"/>
                      <w:kern w:val="2"/>
                      <w:sz w:val="18"/>
                      <w:szCs w:val="18"/>
                      <w:lang w:bidi="ar"/>
                    </w:rPr>
                  </w:pPr>
                  <w:r>
                    <w:rPr>
                      <w:rFonts w:hint="eastAsia" w:ascii="仿宋" w:hAnsi="仿宋" w:eastAsia="仿宋" w:cs="Times New Roman"/>
                      <w:color w:val="000000"/>
                      <w:kern w:val="2"/>
                      <w:sz w:val="18"/>
                      <w:szCs w:val="18"/>
                      <w:lang w:bidi="ar"/>
                    </w:rPr>
                    <w:t>包建，梁征</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龚晓康</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赵阳</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吴梦娟</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柳威，涂晨宇</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王小川</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舒细记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927" w:type="dxa"/>
                  <w:vAlign w:val="center"/>
                </w:tcPr>
                <w:p>
                  <w:pPr>
                    <w:pStyle w:val="4"/>
                    <w:widowControl w:val="0"/>
                    <w:adjustRightInd w:val="0"/>
                    <w:spacing w:line="240" w:lineRule="exact"/>
                    <w:outlineLvl w:val="1"/>
                    <w:rPr>
                      <w:rFonts w:eastAsia="黑体" w:cs="Times New Roman"/>
                      <w:color w:val="000000"/>
                      <w:kern w:val="2"/>
                      <w:sz w:val="18"/>
                      <w:szCs w:val="18"/>
                      <w:lang w:bidi="ar"/>
                    </w:rPr>
                  </w:pPr>
                  <w:r>
                    <w:rPr>
                      <w:rFonts w:hint="eastAsia" w:eastAsia="黑体" w:cs="Times New Roman"/>
                      <w:color w:val="000000"/>
                      <w:kern w:val="2"/>
                      <w:sz w:val="18"/>
                      <w:szCs w:val="18"/>
                      <w:lang w:bidi="ar"/>
                    </w:rPr>
                    <w:t>3</w:t>
                  </w:r>
                </w:p>
              </w:tc>
              <w:tc>
                <w:tcPr>
                  <w:tcW w:w="3888" w:type="dxa"/>
                  <w:vAlign w:val="center"/>
                </w:tcPr>
                <w:p>
                  <w:pPr>
                    <w:pStyle w:val="4"/>
                    <w:widowControl w:val="0"/>
                    <w:adjustRightInd w:val="0"/>
                    <w:spacing w:line="240" w:lineRule="exact"/>
                    <w:outlineLvl w:val="1"/>
                    <w:rPr>
                      <w:rFonts w:eastAsia="黑体" w:cs="Times New Roman"/>
                      <w:color w:val="000000"/>
                      <w:kern w:val="2"/>
                      <w:sz w:val="18"/>
                      <w:szCs w:val="18"/>
                      <w:lang w:bidi="ar"/>
                    </w:rPr>
                  </w:pPr>
                  <w:r>
                    <w:rPr>
                      <w:rFonts w:eastAsia="黑体" w:cs="Times New Roman"/>
                      <w:color w:val="000000"/>
                      <w:kern w:val="2"/>
                      <w:sz w:val="18"/>
                      <w:szCs w:val="18"/>
                      <w:lang w:bidi="ar"/>
                    </w:rPr>
                    <w:t>Iron Chelation Remits Memory Deficits Caused by the High-Fat Diet in a Mouse Model of Alzheimer’s Disease. J Alzheimers Dis. Yifan Xiao, Xiaokang Gong, Ronghua Deng, Wei Liu, Youhua Yang, Xiaochuan Wang, Jianzhi Wang, Jian Bao, Xiji Shu</w:t>
                  </w:r>
                  <w:r>
                    <w:rPr>
                      <w:rFonts w:hint="eastAsia" w:eastAsia="黑体" w:cs="Times New Roman"/>
                      <w:color w:val="000000"/>
                      <w:kern w:val="2"/>
                      <w:sz w:val="18"/>
                      <w:szCs w:val="18"/>
                      <w:lang w:bidi="ar"/>
                    </w:rPr>
                    <w:t>.</w:t>
                  </w:r>
                </w:p>
              </w:tc>
              <w:tc>
                <w:tcPr>
                  <w:tcW w:w="1276" w:type="dxa"/>
                  <w:vAlign w:val="center"/>
                </w:tcPr>
                <w:p>
                  <w:pPr>
                    <w:pStyle w:val="4"/>
                    <w:widowControl w:val="0"/>
                    <w:adjustRightInd w:val="0"/>
                    <w:spacing w:line="240" w:lineRule="exact"/>
                    <w:outlineLvl w:val="1"/>
                    <w:rPr>
                      <w:rFonts w:eastAsia="黑体" w:cs="Times New Roman"/>
                      <w:color w:val="000000"/>
                      <w:kern w:val="2"/>
                      <w:sz w:val="18"/>
                      <w:szCs w:val="18"/>
                      <w:lang w:bidi="ar"/>
                    </w:rPr>
                  </w:pPr>
                  <w:r>
                    <w:rPr>
                      <w:rFonts w:hint="eastAsia" w:eastAsia="黑体" w:cs="Times New Roman"/>
                      <w:color w:val="000000"/>
                      <w:kern w:val="2"/>
                      <w:sz w:val="18"/>
                      <w:szCs w:val="18"/>
                      <w:lang w:bidi="ar"/>
                    </w:rPr>
                    <w:t>202</w:t>
                  </w:r>
                  <w:r>
                    <w:rPr>
                      <w:rFonts w:eastAsia="黑体" w:cs="Times New Roman"/>
                      <w:color w:val="000000"/>
                      <w:kern w:val="2"/>
                      <w:sz w:val="18"/>
                      <w:szCs w:val="18"/>
                      <w:lang w:bidi="ar"/>
                    </w:rPr>
                    <w:t>2</w:t>
                  </w:r>
                  <w:r>
                    <w:rPr>
                      <w:rFonts w:hint="eastAsia" w:eastAsia="黑体" w:cs="Times New Roman"/>
                      <w:color w:val="000000"/>
                      <w:kern w:val="2"/>
                      <w:sz w:val="18"/>
                      <w:szCs w:val="18"/>
                      <w:lang w:bidi="ar"/>
                    </w:rPr>
                    <w:t>.</w:t>
                  </w:r>
                  <w:r>
                    <w:rPr>
                      <w:rFonts w:eastAsia="黑体" w:cs="Times New Roman"/>
                      <w:color w:val="000000"/>
                      <w:kern w:val="2"/>
                      <w:sz w:val="18"/>
                      <w:szCs w:val="18"/>
                      <w:lang w:bidi="ar"/>
                    </w:rPr>
                    <w:t>86:1959-1971</w:t>
                  </w:r>
                </w:p>
              </w:tc>
              <w:tc>
                <w:tcPr>
                  <w:tcW w:w="1842" w:type="dxa"/>
                  <w:vAlign w:val="center"/>
                </w:tcPr>
                <w:p>
                  <w:pPr>
                    <w:pStyle w:val="4"/>
                    <w:widowControl w:val="0"/>
                    <w:adjustRightInd w:val="0"/>
                    <w:spacing w:line="240" w:lineRule="exact"/>
                    <w:outlineLvl w:val="1"/>
                    <w:rPr>
                      <w:rFonts w:eastAsia="黑体" w:cs="Times New Roman"/>
                      <w:color w:val="000000"/>
                      <w:kern w:val="2"/>
                      <w:sz w:val="18"/>
                      <w:szCs w:val="18"/>
                      <w:lang w:bidi="ar"/>
                    </w:rPr>
                  </w:pPr>
                  <w:r>
                    <w:rPr>
                      <w:rFonts w:hint="eastAsia" w:eastAsia="黑体" w:cs="Times New Roman"/>
                      <w:color w:val="000000"/>
                      <w:kern w:val="2"/>
                      <w:sz w:val="18"/>
                      <w:szCs w:val="18"/>
                      <w:lang w:bidi="ar"/>
                    </w:rPr>
                    <w:t>2022年3月15日</w:t>
                  </w:r>
                </w:p>
              </w:tc>
              <w:tc>
                <w:tcPr>
                  <w:tcW w:w="1701" w:type="dxa"/>
                  <w:vAlign w:val="center"/>
                </w:tcPr>
                <w:p>
                  <w:pPr>
                    <w:pStyle w:val="4"/>
                    <w:widowControl w:val="0"/>
                    <w:adjustRightInd w:val="0"/>
                    <w:spacing w:line="240" w:lineRule="exact"/>
                    <w:outlineLvl w:val="1"/>
                    <w:rPr>
                      <w:rFonts w:ascii="仿宋" w:hAnsi="仿宋" w:eastAsia="仿宋" w:cs="Times New Roman"/>
                      <w:color w:val="000000"/>
                      <w:kern w:val="2"/>
                      <w:sz w:val="18"/>
                      <w:szCs w:val="18"/>
                      <w:lang w:bidi="ar"/>
                    </w:rPr>
                  </w:pPr>
                  <w:r>
                    <w:rPr>
                      <w:rFonts w:hint="eastAsia" w:ascii="仿宋" w:hAnsi="仿宋" w:eastAsia="仿宋" w:cs="Times New Roman"/>
                      <w:color w:val="000000"/>
                      <w:kern w:val="2"/>
                      <w:sz w:val="18"/>
                      <w:szCs w:val="18"/>
                      <w:lang w:bidi="ar"/>
                    </w:rPr>
                    <w:t>包建，舒细记</w:t>
                  </w:r>
                </w:p>
              </w:tc>
              <w:tc>
                <w:tcPr>
                  <w:tcW w:w="1701" w:type="dxa"/>
                  <w:vAlign w:val="center"/>
                </w:tcPr>
                <w:p>
                  <w:pPr>
                    <w:pStyle w:val="4"/>
                    <w:widowControl w:val="0"/>
                    <w:adjustRightInd w:val="0"/>
                    <w:spacing w:line="240" w:lineRule="exact"/>
                    <w:outlineLvl w:val="1"/>
                    <w:rPr>
                      <w:rFonts w:ascii="仿宋" w:hAnsi="仿宋" w:eastAsia="仿宋" w:cs="Times New Roman"/>
                      <w:color w:val="000000"/>
                      <w:kern w:val="2"/>
                      <w:sz w:val="18"/>
                      <w:szCs w:val="18"/>
                      <w:lang w:bidi="ar"/>
                    </w:rPr>
                  </w:pPr>
                  <w:r>
                    <w:rPr>
                      <w:rFonts w:hint="eastAsia" w:ascii="仿宋" w:hAnsi="仿宋" w:eastAsia="仿宋" w:cs="Times New Roman"/>
                      <w:color w:val="000000"/>
                      <w:kern w:val="2"/>
                      <w:sz w:val="18"/>
                      <w:szCs w:val="18"/>
                      <w:lang w:bidi="ar"/>
                    </w:rPr>
                    <w:t>肖一帆</w:t>
                  </w:r>
                </w:p>
              </w:tc>
              <w:tc>
                <w:tcPr>
                  <w:tcW w:w="2282" w:type="dxa"/>
                  <w:vAlign w:val="center"/>
                </w:tcPr>
                <w:p>
                  <w:pPr>
                    <w:pStyle w:val="4"/>
                    <w:widowControl w:val="0"/>
                    <w:adjustRightInd w:val="0"/>
                    <w:spacing w:line="240" w:lineRule="exact"/>
                    <w:outlineLvl w:val="1"/>
                    <w:rPr>
                      <w:rFonts w:ascii="仿宋" w:hAnsi="仿宋" w:eastAsia="仿宋" w:cs="Times New Roman"/>
                      <w:color w:val="000000"/>
                      <w:kern w:val="2"/>
                      <w:sz w:val="18"/>
                      <w:szCs w:val="18"/>
                      <w:lang w:bidi="ar"/>
                    </w:rPr>
                  </w:pPr>
                  <w:r>
                    <w:rPr>
                      <w:rFonts w:hint="eastAsia" w:ascii="仿宋" w:hAnsi="仿宋" w:eastAsia="仿宋" w:cs="Times New Roman"/>
                      <w:color w:val="000000"/>
                      <w:kern w:val="2"/>
                      <w:sz w:val="18"/>
                      <w:szCs w:val="18"/>
                      <w:lang w:bidi="ar"/>
                    </w:rPr>
                    <w:t>肖一帆</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龚晓康</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邓荣华</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柳威</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杨友华</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王小川</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王建枝</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包建</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舒细记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927" w:type="dxa"/>
                  <w:vAlign w:val="center"/>
                </w:tcPr>
                <w:p>
                  <w:pPr>
                    <w:pStyle w:val="4"/>
                    <w:widowControl w:val="0"/>
                    <w:adjustRightInd w:val="0"/>
                    <w:spacing w:line="240" w:lineRule="exact"/>
                    <w:outlineLvl w:val="1"/>
                    <w:rPr>
                      <w:rFonts w:eastAsia="黑体" w:cs="Times New Roman"/>
                      <w:color w:val="000000"/>
                      <w:kern w:val="0"/>
                      <w:sz w:val="18"/>
                      <w:szCs w:val="18"/>
                      <w:lang w:bidi="ar"/>
                    </w:rPr>
                  </w:pPr>
                  <w:r>
                    <w:rPr>
                      <w:rFonts w:eastAsia="黑体" w:cs="Times New Roman"/>
                      <w:color w:val="000000"/>
                      <w:kern w:val="0"/>
                      <w:sz w:val="18"/>
                      <w:szCs w:val="18"/>
                      <w:lang w:bidi="ar"/>
                    </w:rPr>
                    <w:t>4</w:t>
                  </w:r>
                </w:p>
              </w:tc>
              <w:tc>
                <w:tcPr>
                  <w:tcW w:w="3888" w:type="dxa"/>
                  <w:vAlign w:val="center"/>
                </w:tcPr>
                <w:p>
                  <w:pPr>
                    <w:pStyle w:val="4"/>
                    <w:widowControl w:val="0"/>
                    <w:adjustRightInd w:val="0"/>
                    <w:spacing w:line="240" w:lineRule="exact"/>
                    <w:outlineLvl w:val="1"/>
                    <w:rPr>
                      <w:rFonts w:eastAsia="黑体" w:cs="Times New Roman"/>
                      <w:color w:val="000000"/>
                      <w:kern w:val="0"/>
                      <w:sz w:val="18"/>
                      <w:szCs w:val="18"/>
                      <w:lang w:bidi="ar"/>
                    </w:rPr>
                  </w:pPr>
                  <w:r>
                    <w:rPr>
                      <w:rFonts w:hint="eastAsia" w:eastAsia="黑体" w:cs="Times New Roman"/>
                      <w:color w:val="000000"/>
                      <w:kern w:val="2"/>
                      <w:sz w:val="18"/>
                      <w:szCs w:val="18"/>
                      <w:lang w:bidi="ar"/>
                    </w:rPr>
                    <w:t>双(7)-他克林、美金刚和他克林对脑缺血大鼠认知功能及海马神经发生的影响比较.中国医院药学杂志. 舒细记，柳威，杨荣，叶雁杰，易卉玲，李长雷，艾永循.</w:t>
                  </w:r>
                </w:p>
              </w:tc>
              <w:tc>
                <w:tcPr>
                  <w:tcW w:w="1276" w:type="dxa"/>
                  <w:vAlign w:val="center"/>
                </w:tcPr>
                <w:p>
                  <w:pPr>
                    <w:pStyle w:val="4"/>
                    <w:widowControl w:val="0"/>
                    <w:adjustRightInd w:val="0"/>
                    <w:spacing w:line="240" w:lineRule="exact"/>
                    <w:outlineLvl w:val="1"/>
                    <w:rPr>
                      <w:rFonts w:eastAsia="黑体" w:cs="Times New Roman"/>
                      <w:color w:val="000000"/>
                      <w:kern w:val="0"/>
                      <w:sz w:val="18"/>
                      <w:szCs w:val="18"/>
                      <w:lang w:bidi="ar"/>
                    </w:rPr>
                  </w:pPr>
                  <w:r>
                    <w:rPr>
                      <w:rFonts w:hint="eastAsia" w:eastAsia="黑体" w:cs="Times New Roman"/>
                      <w:color w:val="000000"/>
                      <w:kern w:val="2"/>
                      <w:sz w:val="18"/>
                      <w:szCs w:val="18"/>
                      <w:lang w:bidi="ar"/>
                    </w:rPr>
                    <w:t>2012.32</w:t>
                  </w:r>
                  <w:r>
                    <w:rPr>
                      <w:rFonts w:eastAsia="黑体" w:cs="Times New Roman"/>
                      <w:color w:val="000000"/>
                      <w:kern w:val="2"/>
                      <w:sz w:val="18"/>
                      <w:szCs w:val="18"/>
                      <w:lang w:bidi="ar"/>
                    </w:rPr>
                    <w:t>:579-583</w:t>
                  </w:r>
                </w:p>
              </w:tc>
              <w:tc>
                <w:tcPr>
                  <w:tcW w:w="1842" w:type="dxa"/>
                  <w:vAlign w:val="center"/>
                </w:tcPr>
                <w:p>
                  <w:pPr>
                    <w:pStyle w:val="4"/>
                    <w:widowControl w:val="0"/>
                    <w:adjustRightInd w:val="0"/>
                    <w:spacing w:line="240" w:lineRule="exact"/>
                    <w:outlineLvl w:val="1"/>
                    <w:rPr>
                      <w:rFonts w:eastAsia="黑体" w:cs="Times New Roman"/>
                      <w:color w:val="000000"/>
                      <w:kern w:val="0"/>
                      <w:sz w:val="18"/>
                      <w:szCs w:val="18"/>
                      <w:highlight w:val="yellow"/>
                      <w:lang w:bidi="ar"/>
                    </w:rPr>
                  </w:pPr>
                  <w:r>
                    <w:rPr>
                      <w:rFonts w:hint="eastAsia" w:eastAsia="黑体" w:cs="Times New Roman"/>
                      <w:color w:val="000000"/>
                      <w:kern w:val="0"/>
                      <w:sz w:val="18"/>
                      <w:szCs w:val="18"/>
                      <w:lang w:bidi="ar"/>
                    </w:rPr>
                    <w:t>2012年</w:t>
                  </w:r>
                  <w:r>
                    <w:rPr>
                      <w:rFonts w:eastAsia="黑体" w:cs="Times New Roman"/>
                      <w:color w:val="000000"/>
                      <w:kern w:val="0"/>
                      <w:sz w:val="18"/>
                      <w:szCs w:val="18"/>
                      <w:lang w:bidi="ar"/>
                    </w:rPr>
                    <w:t>8</w:t>
                  </w:r>
                  <w:r>
                    <w:rPr>
                      <w:rFonts w:hint="eastAsia" w:eastAsia="黑体" w:cs="Times New Roman"/>
                      <w:color w:val="000000"/>
                      <w:kern w:val="0"/>
                      <w:sz w:val="18"/>
                      <w:szCs w:val="18"/>
                      <w:lang w:bidi="ar"/>
                    </w:rPr>
                    <w:t>月</w:t>
                  </w:r>
                  <w:r>
                    <w:rPr>
                      <w:rFonts w:eastAsia="黑体" w:cs="Times New Roman"/>
                      <w:color w:val="000000"/>
                      <w:kern w:val="0"/>
                      <w:sz w:val="18"/>
                      <w:szCs w:val="18"/>
                      <w:lang w:bidi="ar"/>
                    </w:rPr>
                    <w:t>27</w:t>
                  </w:r>
                  <w:r>
                    <w:rPr>
                      <w:rFonts w:hint="eastAsia" w:eastAsia="黑体" w:cs="Times New Roman"/>
                      <w:color w:val="000000"/>
                      <w:kern w:val="0"/>
                      <w:sz w:val="18"/>
                      <w:szCs w:val="18"/>
                      <w:lang w:bidi="ar"/>
                    </w:rPr>
                    <w:t>日</w:t>
                  </w:r>
                </w:p>
              </w:tc>
              <w:tc>
                <w:tcPr>
                  <w:tcW w:w="1701" w:type="dxa"/>
                  <w:vAlign w:val="center"/>
                </w:tcPr>
                <w:p>
                  <w:pPr>
                    <w:pStyle w:val="4"/>
                    <w:widowControl w:val="0"/>
                    <w:adjustRightInd w:val="0"/>
                    <w:spacing w:line="240" w:lineRule="exact"/>
                    <w:outlineLvl w:val="1"/>
                    <w:rPr>
                      <w:rFonts w:ascii="仿宋" w:hAnsi="仿宋" w:eastAsia="仿宋" w:cs="Times New Roman"/>
                      <w:color w:val="000000"/>
                      <w:kern w:val="0"/>
                      <w:sz w:val="18"/>
                      <w:szCs w:val="18"/>
                      <w:highlight w:val="yellow"/>
                      <w:lang w:bidi="ar"/>
                    </w:rPr>
                  </w:pPr>
                  <w:r>
                    <w:rPr>
                      <w:rFonts w:hint="eastAsia" w:ascii="仿宋" w:hAnsi="仿宋" w:eastAsia="仿宋" w:cs="Times New Roman"/>
                      <w:color w:val="000000"/>
                      <w:kern w:val="2"/>
                      <w:sz w:val="18"/>
                      <w:szCs w:val="18"/>
                      <w:lang w:bidi="ar"/>
                    </w:rPr>
                    <w:t>艾永循</w:t>
                  </w:r>
                </w:p>
              </w:tc>
              <w:tc>
                <w:tcPr>
                  <w:tcW w:w="1701" w:type="dxa"/>
                  <w:vAlign w:val="center"/>
                </w:tcPr>
                <w:p>
                  <w:pPr>
                    <w:pStyle w:val="4"/>
                    <w:widowControl w:val="0"/>
                    <w:adjustRightInd w:val="0"/>
                    <w:spacing w:line="240" w:lineRule="exact"/>
                    <w:outlineLvl w:val="1"/>
                    <w:rPr>
                      <w:rFonts w:ascii="仿宋" w:hAnsi="仿宋" w:eastAsia="仿宋" w:cs="Times New Roman"/>
                      <w:color w:val="000000"/>
                      <w:kern w:val="0"/>
                      <w:sz w:val="18"/>
                      <w:szCs w:val="18"/>
                      <w:highlight w:val="yellow"/>
                      <w:lang w:bidi="ar"/>
                    </w:rPr>
                  </w:pPr>
                  <w:r>
                    <w:rPr>
                      <w:rFonts w:hint="eastAsia" w:ascii="仿宋" w:hAnsi="仿宋" w:eastAsia="仿宋" w:cs="Times New Roman"/>
                      <w:color w:val="000000"/>
                      <w:kern w:val="2"/>
                      <w:sz w:val="18"/>
                      <w:szCs w:val="18"/>
                      <w:lang w:bidi="ar"/>
                    </w:rPr>
                    <w:t>舒细记</w:t>
                  </w:r>
                </w:p>
              </w:tc>
              <w:tc>
                <w:tcPr>
                  <w:tcW w:w="2282" w:type="dxa"/>
                  <w:vAlign w:val="center"/>
                </w:tcPr>
                <w:p>
                  <w:pPr>
                    <w:pStyle w:val="4"/>
                    <w:widowControl w:val="0"/>
                    <w:adjustRightInd w:val="0"/>
                    <w:spacing w:line="240" w:lineRule="exact"/>
                    <w:outlineLvl w:val="1"/>
                    <w:rPr>
                      <w:rFonts w:ascii="仿宋" w:hAnsi="仿宋" w:eastAsia="仿宋" w:cs="Times New Roman"/>
                      <w:color w:val="000000"/>
                      <w:kern w:val="0"/>
                      <w:sz w:val="18"/>
                      <w:szCs w:val="18"/>
                      <w:highlight w:val="yellow"/>
                      <w:lang w:bidi="ar"/>
                    </w:rPr>
                  </w:pPr>
                  <w:r>
                    <w:rPr>
                      <w:rFonts w:hint="eastAsia" w:ascii="仿宋" w:hAnsi="仿宋" w:eastAsia="仿宋" w:cs="Times New Roman"/>
                      <w:color w:val="000000"/>
                      <w:kern w:val="2"/>
                      <w:sz w:val="18"/>
                      <w:szCs w:val="18"/>
                      <w:lang w:bidi="ar"/>
                    </w:rPr>
                    <w:t>舒细记,柳威,杨荣,叶雁杰，易卉玲，李长雷，艾永循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927" w:type="dxa"/>
                  <w:vAlign w:val="center"/>
                </w:tcPr>
                <w:p>
                  <w:pPr>
                    <w:pStyle w:val="4"/>
                    <w:widowControl w:val="0"/>
                    <w:adjustRightInd w:val="0"/>
                    <w:spacing w:line="240" w:lineRule="exact"/>
                    <w:outlineLvl w:val="1"/>
                    <w:rPr>
                      <w:rFonts w:eastAsia="黑体" w:cs="Times New Roman"/>
                      <w:color w:val="000000"/>
                      <w:kern w:val="0"/>
                      <w:sz w:val="18"/>
                      <w:szCs w:val="18"/>
                      <w:lang w:bidi="ar"/>
                    </w:rPr>
                  </w:pPr>
                  <w:r>
                    <w:rPr>
                      <w:rFonts w:eastAsia="黑体" w:cs="Times New Roman"/>
                      <w:color w:val="000000"/>
                      <w:kern w:val="2"/>
                      <w:sz w:val="18"/>
                      <w:szCs w:val="18"/>
                      <w:lang w:bidi="ar"/>
                    </w:rPr>
                    <w:t>5</w:t>
                  </w:r>
                </w:p>
              </w:tc>
              <w:tc>
                <w:tcPr>
                  <w:tcW w:w="3888" w:type="dxa"/>
                  <w:vAlign w:val="center"/>
                </w:tcPr>
                <w:p>
                  <w:pPr>
                    <w:pStyle w:val="4"/>
                    <w:widowControl w:val="0"/>
                    <w:adjustRightInd w:val="0"/>
                    <w:spacing w:line="240" w:lineRule="exact"/>
                    <w:outlineLvl w:val="1"/>
                    <w:rPr>
                      <w:rFonts w:eastAsia="黑体" w:cs="Times New Roman"/>
                      <w:color w:val="000000"/>
                      <w:kern w:val="0"/>
                      <w:sz w:val="18"/>
                      <w:szCs w:val="18"/>
                      <w:lang w:bidi="ar"/>
                    </w:rPr>
                  </w:pPr>
                  <w:r>
                    <w:rPr>
                      <w:rFonts w:eastAsia="黑体" w:cs="Times New Roman"/>
                      <w:color w:val="000000"/>
                      <w:kern w:val="2"/>
                      <w:sz w:val="18"/>
                      <w:szCs w:val="18"/>
                      <w:lang w:bidi="ar"/>
                    </w:rPr>
                    <w:t>Epigallocatechin-3-gallate Alleviates Cognitive Deficits in APP/PS1 Mice. Curr Med Sci. Bao, J.</w:t>
                  </w:r>
                  <w:r>
                    <w:rPr>
                      <w:rFonts w:hint="eastAsia" w:eastAsia="黑体" w:cs="Times New Roman"/>
                      <w:color w:val="000000"/>
                      <w:kern w:val="2"/>
                      <w:sz w:val="18"/>
                      <w:szCs w:val="18"/>
                      <w:lang w:bidi="ar"/>
                    </w:rPr>
                    <w:t xml:space="preserve">, </w:t>
                  </w:r>
                  <w:r>
                    <w:rPr>
                      <w:rFonts w:eastAsia="黑体" w:cs="Times New Roman"/>
                      <w:color w:val="000000"/>
                      <w:kern w:val="2"/>
                      <w:sz w:val="18"/>
                      <w:szCs w:val="18"/>
                      <w:lang w:bidi="ar"/>
                    </w:rPr>
                    <w:t>Liu, W., Zhou, H. Y., Gui, Y. R., Yang, Y. H., Wu, M. J., Xiao, Y. F., Shang, J. T., Long, G. F., Shu, X. J.</w:t>
                  </w:r>
                </w:p>
              </w:tc>
              <w:tc>
                <w:tcPr>
                  <w:tcW w:w="1276" w:type="dxa"/>
                  <w:vAlign w:val="center"/>
                </w:tcPr>
                <w:p>
                  <w:pPr>
                    <w:pStyle w:val="4"/>
                    <w:widowControl w:val="0"/>
                    <w:adjustRightInd w:val="0"/>
                    <w:spacing w:line="240" w:lineRule="exact"/>
                    <w:outlineLvl w:val="1"/>
                    <w:rPr>
                      <w:rFonts w:eastAsia="黑体" w:cs="Times New Roman"/>
                      <w:color w:val="000000"/>
                      <w:kern w:val="0"/>
                      <w:sz w:val="18"/>
                      <w:szCs w:val="18"/>
                      <w:lang w:bidi="ar"/>
                    </w:rPr>
                  </w:pPr>
                  <w:r>
                    <w:rPr>
                      <w:rFonts w:hint="eastAsia" w:eastAsia="黑体" w:cs="Times New Roman"/>
                      <w:color w:val="000000"/>
                      <w:kern w:val="2"/>
                      <w:sz w:val="18"/>
                      <w:szCs w:val="18"/>
                      <w:lang w:bidi="ar"/>
                    </w:rPr>
                    <w:t>2020.40:</w:t>
                  </w:r>
                  <w:r>
                    <w:rPr>
                      <w:rFonts w:eastAsia="黑体" w:cs="Times New Roman"/>
                      <w:color w:val="000000"/>
                      <w:kern w:val="2"/>
                      <w:sz w:val="18"/>
                      <w:szCs w:val="18"/>
                      <w:lang w:bidi="ar"/>
                    </w:rPr>
                    <w:t>18-27</w:t>
                  </w:r>
                </w:p>
              </w:tc>
              <w:tc>
                <w:tcPr>
                  <w:tcW w:w="1842" w:type="dxa"/>
                  <w:vAlign w:val="center"/>
                </w:tcPr>
                <w:p>
                  <w:pPr>
                    <w:pStyle w:val="4"/>
                    <w:widowControl w:val="0"/>
                    <w:adjustRightInd w:val="0"/>
                    <w:spacing w:line="240" w:lineRule="exact"/>
                    <w:outlineLvl w:val="1"/>
                    <w:rPr>
                      <w:rFonts w:eastAsia="黑体" w:cs="Times New Roman"/>
                      <w:color w:val="000000"/>
                      <w:kern w:val="0"/>
                      <w:sz w:val="18"/>
                      <w:szCs w:val="18"/>
                      <w:lang w:bidi="ar"/>
                    </w:rPr>
                  </w:pPr>
                  <w:r>
                    <w:rPr>
                      <w:rFonts w:hint="eastAsia" w:eastAsia="黑体" w:cs="Times New Roman"/>
                      <w:color w:val="000000"/>
                      <w:kern w:val="2"/>
                      <w:sz w:val="18"/>
                      <w:szCs w:val="18"/>
                      <w:lang w:bidi="ar"/>
                    </w:rPr>
                    <w:t>2020年2月1日</w:t>
                  </w:r>
                </w:p>
              </w:tc>
              <w:tc>
                <w:tcPr>
                  <w:tcW w:w="1701" w:type="dxa"/>
                  <w:vAlign w:val="center"/>
                </w:tcPr>
                <w:p>
                  <w:pPr>
                    <w:pStyle w:val="4"/>
                    <w:widowControl w:val="0"/>
                    <w:adjustRightInd w:val="0"/>
                    <w:spacing w:line="240" w:lineRule="exact"/>
                    <w:outlineLvl w:val="1"/>
                    <w:rPr>
                      <w:rFonts w:eastAsia="黑体" w:cs="Times New Roman"/>
                      <w:color w:val="000000"/>
                      <w:kern w:val="0"/>
                      <w:sz w:val="18"/>
                      <w:szCs w:val="18"/>
                      <w:lang w:bidi="ar"/>
                    </w:rPr>
                  </w:pPr>
                  <w:r>
                    <w:rPr>
                      <w:rFonts w:hint="eastAsia" w:ascii="仿宋" w:hAnsi="仿宋" w:eastAsia="仿宋" w:cs="Times New Roman"/>
                      <w:color w:val="000000"/>
                      <w:kern w:val="2"/>
                      <w:sz w:val="18"/>
                      <w:szCs w:val="18"/>
                      <w:lang w:bidi="ar"/>
                    </w:rPr>
                    <w:t>舒细记</w:t>
                  </w:r>
                </w:p>
              </w:tc>
              <w:tc>
                <w:tcPr>
                  <w:tcW w:w="1701" w:type="dxa"/>
                  <w:vAlign w:val="center"/>
                </w:tcPr>
                <w:p>
                  <w:pPr>
                    <w:pStyle w:val="4"/>
                    <w:widowControl w:val="0"/>
                    <w:adjustRightInd w:val="0"/>
                    <w:spacing w:line="240" w:lineRule="exact"/>
                    <w:outlineLvl w:val="1"/>
                    <w:rPr>
                      <w:rFonts w:eastAsia="黑体" w:cs="Times New Roman"/>
                      <w:color w:val="000000"/>
                      <w:kern w:val="0"/>
                      <w:sz w:val="18"/>
                      <w:szCs w:val="18"/>
                      <w:lang w:bidi="ar"/>
                    </w:rPr>
                  </w:pPr>
                  <w:r>
                    <w:rPr>
                      <w:rFonts w:hint="eastAsia" w:ascii="仿宋" w:hAnsi="仿宋" w:eastAsia="仿宋" w:cs="Times New Roman"/>
                      <w:color w:val="000000"/>
                      <w:kern w:val="2"/>
                      <w:sz w:val="18"/>
                      <w:szCs w:val="18"/>
                      <w:lang w:bidi="ar"/>
                    </w:rPr>
                    <w:t>包建</w:t>
                  </w:r>
                </w:p>
              </w:tc>
              <w:tc>
                <w:tcPr>
                  <w:tcW w:w="2282" w:type="dxa"/>
                  <w:vAlign w:val="center"/>
                </w:tcPr>
                <w:p>
                  <w:pPr>
                    <w:pStyle w:val="4"/>
                    <w:widowControl w:val="0"/>
                    <w:adjustRightInd w:val="0"/>
                    <w:spacing w:line="240" w:lineRule="exact"/>
                    <w:outlineLvl w:val="1"/>
                    <w:rPr>
                      <w:rFonts w:eastAsia="黑体" w:cs="Times New Roman"/>
                      <w:color w:val="000000"/>
                      <w:kern w:val="0"/>
                      <w:sz w:val="18"/>
                      <w:szCs w:val="18"/>
                      <w:lang w:bidi="ar"/>
                    </w:rPr>
                  </w:pPr>
                  <w:r>
                    <w:rPr>
                      <w:rFonts w:hint="eastAsia" w:ascii="仿宋" w:hAnsi="仿宋" w:eastAsia="仿宋" w:cs="Times New Roman"/>
                      <w:color w:val="000000"/>
                      <w:kern w:val="2"/>
                      <w:sz w:val="18"/>
                      <w:szCs w:val="18"/>
                      <w:lang w:bidi="ar"/>
                    </w:rPr>
                    <w:t>包建, 柳威</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周红艳，桂玉然</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杨友华</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吴梦娟</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肖一帆</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商锦婷</w:t>
                  </w:r>
                  <w:r>
                    <w:rPr>
                      <w:rFonts w:ascii="仿宋" w:hAnsi="仿宋" w:eastAsia="仿宋" w:cs="Times New Roman"/>
                      <w:color w:val="000000"/>
                      <w:kern w:val="2"/>
                      <w:sz w:val="18"/>
                      <w:szCs w:val="18"/>
                      <w:lang w:bidi="ar"/>
                    </w:rPr>
                    <w:t xml:space="preserve">, </w:t>
                  </w:r>
                  <w:r>
                    <w:rPr>
                      <w:rFonts w:hint="eastAsia" w:ascii="仿宋" w:hAnsi="仿宋" w:eastAsia="仿宋" w:cs="Times New Roman"/>
                      <w:color w:val="000000"/>
                      <w:kern w:val="2"/>
                      <w:sz w:val="18"/>
                      <w:szCs w:val="18"/>
                      <w:lang w:bidi="ar"/>
                    </w:rPr>
                    <w:t>龙桂凤</w:t>
                  </w:r>
                  <w:r>
                    <w:rPr>
                      <w:rFonts w:ascii="仿宋" w:hAnsi="仿宋" w:eastAsia="仿宋" w:cs="Times New Roman"/>
                      <w:color w:val="000000"/>
                      <w:kern w:val="2"/>
                      <w:sz w:val="18"/>
                      <w:szCs w:val="18"/>
                      <w:lang w:bidi="ar"/>
                    </w:rPr>
                    <w:t>,</w:t>
                  </w:r>
                  <w:r>
                    <w:rPr>
                      <w:rFonts w:hint="eastAsia" w:ascii="仿宋" w:hAnsi="仿宋" w:eastAsia="仿宋" w:cs="Times New Roman"/>
                      <w:color w:val="000000"/>
                      <w:kern w:val="2"/>
                      <w:sz w:val="18"/>
                      <w:szCs w:val="18"/>
                      <w:lang w:bidi="ar"/>
                    </w:rPr>
                    <w:t xml:space="preserve"> 舒细记</w:t>
                  </w:r>
                </w:p>
              </w:tc>
            </w:tr>
          </w:tbl>
          <w:p>
            <w:pPr>
              <w:pStyle w:val="4"/>
              <w:widowControl w:val="0"/>
              <w:adjustRightInd w:val="0"/>
              <w:spacing w:line="240" w:lineRule="exact"/>
              <w:outlineLvl w:val="1"/>
              <w:rPr>
                <w:rFonts w:eastAsia="黑体" w:cs="Times New Roman"/>
                <w:color w:val="000000"/>
                <w:kern w:val="2"/>
                <w:sz w:val="18"/>
                <w:szCs w:val="18"/>
                <w:lang w:bidi="ar"/>
              </w:rPr>
            </w:pPr>
          </w:p>
        </w:tc>
      </w:tr>
    </w:tbl>
    <w:p>
      <w:pPr>
        <w:spacing w:before="156" w:beforeLines="50" w:after="156" w:afterLines="50" w:line="400" w:lineRule="exact"/>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roman"/>
    <w:pitch w:val="default"/>
    <w:sig w:usb0="800002BF" w:usb1="38CF7CFA" w:usb2="00000016" w:usb3="00000000" w:csb0="00040001" w:csb1="00000000"/>
  </w:font>
  <w:font w:name="方正仿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A3896"/>
    <w:multiLevelType w:val="singleLevel"/>
    <w:tmpl w:val="CC4A389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B9"/>
    <w:rsid w:val="00036971"/>
    <w:rsid w:val="000411E4"/>
    <w:rsid w:val="00165FCC"/>
    <w:rsid w:val="001C39B9"/>
    <w:rsid w:val="00250466"/>
    <w:rsid w:val="0026455A"/>
    <w:rsid w:val="002A6B25"/>
    <w:rsid w:val="002B7DD6"/>
    <w:rsid w:val="002E6B21"/>
    <w:rsid w:val="00393490"/>
    <w:rsid w:val="004715B1"/>
    <w:rsid w:val="004D284C"/>
    <w:rsid w:val="004F3D5E"/>
    <w:rsid w:val="005C4FD1"/>
    <w:rsid w:val="005F3A47"/>
    <w:rsid w:val="0060028E"/>
    <w:rsid w:val="00657939"/>
    <w:rsid w:val="006648AC"/>
    <w:rsid w:val="006A2273"/>
    <w:rsid w:val="006B7243"/>
    <w:rsid w:val="006C4E9D"/>
    <w:rsid w:val="00702414"/>
    <w:rsid w:val="00764078"/>
    <w:rsid w:val="007F4968"/>
    <w:rsid w:val="0089720A"/>
    <w:rsid w:val="008B53EA"/>
    <w:rsid w:val="008D0353"/>
    <w:rsid w:val="008D7BA3"/>
    <w:rsid w:val="008F423C"/>
    <w:rsid w:val="008F577C"/>
    <w:rsid w:val="00911618"/>
    <w:rsid w:val="00915BF4"/>
    <w:rsid w:val="00923300"/>
    <w:rsid w:val="009651CD"/>
    <w:rsid w:val="009811E8"/>
    <w:rsid w:val="00992A33"/>
    <w:rsid w:val="009974C7"/>
    <w:rsid w:val="009A3C54"/>
    <w:rsid w:val="00A33039"/>
    <w:rsid w:val="00A42A56"/>
    <w:rsid w:val="00A805DF"/>
    <w:rsid w:val="00AA5E36"/>
    <w:rsid w:val="00B04AB9"/>
    <w:rsid w:val="00B61555"/>
    <w:rsid w:val="00BF0058"/>
    <w:rsid w:val="00BF5F4A"/>
    <w:rsid w:val="00C679E0"/>
    <w:rsid w:val="00D14190"/>
    <w:rsid w:val="00D94767"/>
    <w:rsid w:val="00DA082E"/>
    <w:rsid w:val="00DB12C3"/>
    <w:rsid w:val="00E16A34"/>
    <w:rsid w:val="00E673EF"/>
    <w:rsid w:val="00EC3394"/>
    <w:rsid w:val="00EF376F"/>
    <w:rsid w:val="00FE427B"/>
    <w:rsid w:val="713E6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Times New Roman" w:hAnsi="Times New Roman" w:eastAsia="仿宋_GB2312" w:cstheme="minorBidi"/>
      <w:kern w:val="2"/>
      <w:sz w:val="3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spacing w:line="240" w:lineRule="atLeas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nhideWhenUsed/>
    <w:qFormat/>
    <w:uiPriority w:val="99"/>
    <w:rPr>
      <w:sz w:val="24"/>
    </w:rPr>
  </w:style>
  <w:style w:type="table" w:styleId="6">
    <w:name w:val="Table Grid"/>
    <w:basedOn w:val="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uiPriority w:val="99"/>
    <w:rPr>
      <w:rFonts w:ascii="Times New Roman" w:hAnsi="Times New Roman" w:eastAsia="仿宋_GB2312"/>
      <w:sz w:val="18"/>
      <w:szCs w:val="18"/>
    </w:rPr>
  </w:style>
  <w:style w:type="character" w:customStyle="1" w:styleId="9">
    <w:name w:val="页脚 字符"/>
    <w:basedOn w:val="7"/>
    <w:link w:val="2"/>
    <w:uiPriority w:val="99"/>
    <w:rPr>
      <w:rFonts w:ascii="Times New Roman" w:hAnsi="Times New Roman" w:eastAsia="仿宋_GB2312"/>
      <w:sz w:val="18"/>
      <w:szCs w:val="18"/>
    </w:rPr>
  </w:style>
  <w:style w:type="paragraph" w:styleId="10">
    <w:name w:val="List Paragraph"/>
    <w:basedOn w:val="1"/>
    <w:uiPriority w:val="99"/>
    <w:pPr>
      <w:widowControl w:val="0"/>
      <w:spacing w:line="240" w:lineRule="auto"/>
      <w:ind w:firstLine="420" w:firstLineChars="200"/>
      <w:jc w:val="both"/>
    </w:pPr>
    <w:rPr>
      <w:rFonts w:ascii="Calibri" w:hAnsi="Calibri" w:eastAsia="宋体" w:cs="Times New Roman"/>
      <w:sz w:val="21"/>
      <w:szCs w:val="24"/>
    </w:rPr>
  </w:style>
  <w:style w:type="paragraph" w:customStyle="1" w:styleId="11">
    <w:name w:val="ds-markdown-paragraph"/>
    <w:basedOn w:val="1"/>
    <w:uiPriority w:val="0"/>
    <w:pPr>
      <w:spacing w:before="100" w:beforeAutospacing="1" w:after="100" w:afterAutospacing="1" w:line="240" w:lineRule="auto"/>
    </w:pPr>
    <w:rPr>
      <w:rFonts w:ascii="宋体" w:hAnsi="宋体" w:eastAsia="宋体" w:cs="宋体"/>
      <w:kern w:val="0"/>
      <w:sz w:val="24"/>
      <w:szCs w:val="24"/>
    </w:rPr>
  </w:style>
  <w:style w:type="character" w:customStyle="1" w:styleId="12">
    <w:name w:val="fontstyle01"/>
    <w:basedOn w:val="7"/>
    <w:uiPriority w:val="0"/>
    <w:rPr>
      <w:rFonts w:hint="default" w:ascii="仿宋" w:hAnsi="仿宋"/>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582</Words>
  <Characters>3321</Characters>
  <Lines>27</Lines>
  <Paragraphs>7</Paragraphs>
  <TotalTime>163</TotalTime>
  <ScaleCrop>false</ScaleCrop>
  <LinksUpToDate>false</LinksUpToDate>
  <CharactersWithSpaces>3896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2023-10-31T03:03:00Z</dcterms:created>
  <dc:creator>Lenovo</dc:creator>
  <cp:lastModifiedBy>Zhangwei</cp:lastModifiedBy>
  <dcterms:modified xsi:type="dcterms:W3CDTF">2025-05-12T15:56:29Z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21A04A0183E147CAA58355E1C1791404</vt:lpwstr>
  </property>
</Properties>
</file>