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AFA86E">
      <w:pPr>
        <w:keepNext w:val="0"/>
        <w:keepLines w:val="0"/>
        <w:pageBreakBefore w:val="0"/>
        <w:wordWrap/>
        <w:topLinePunct w:val="0"/>
        <w:autoSpaceDE w:val="0"/>
        <w:autoSpaceDN w:val="0"/>
        <w:bidi w:val="0"/>
        <w:adjustRightInd w:val="0"/>
        <w:snapToGrid w:val="0"/>
        <w:spacing w:line="640" w:lineRule="exact"/>
        <w:jc w:val="both"/>
        <w:textAlignment w:val="baseline"/>
        <w:rPr>
          <w:rFonts w:hint="default" w:ascii="Times New Roman" w:hAnsi="Times New Roman" w:eastAsia="黑体" w:cs="Times New Roman"/>
          <w:color w:val="0D0D0D" w:themeColor="text1" w:themeTint="F2"/>
          <w:sz w:val="32"/>
          <w:szCs w:val="32"/>
          <w:lang w:val="en-US" w:eastAsia="zh-CN"/>
          <w14:textFill>
            <w14:solidFill>
              <w14:schemeClr w14:val="tx1">
                <w14:lumMod w14:val="95000"/>
                <w14:lumOff w14:val="5000"/>
              </w14:schemeClr>
            </w14:solidFill>
          </w14:textFill>
        </w:rPr>
      </w:pPr>
      <w:r>
        <w:rPr>
          <w:rFonts w:hint="default" w:ascii="Times New Roman" w:hAnsi="Times New Roman" w:eastAsia="黑体" w:cs="Times New Roman"/>
          <w:color w:val="0D0D0D" w:themeColor="text1" w:themeTint="F2"/>
          <w:sz w:val="32"/>
          <w:szCs w:val="32"/>
          <w:lang w:val="en-US" w:eastAsia="zh-CN"/>
          <w14:textFill>
            <w14:solidFill>
              <w14:schemeClr w14:val="tx1">
                <w14:lumMod w14:val="95000"/>
                <w14:lumOff w14:val="5000"/>
              </w14:schemeClr>
            </w14:solidFill>
          </w14:textFill>
        </w:rPr>
        <w:t>附件</w:t>
      </w:r>
    </w:p>
    <w:p w14:paraId="25A89310">
      <w:pPr>
        <w:pStyle w:val="3"/>
        <w:keepNext w:val="0"/>
        <w:keepLines w:val="0"/>
        <w:pageBreakBefore w:val="0"/>
        <w:widowControl w:val="0"/>
        <w:kinsoku/>
        <w:wordWrap/>
        <w:overflowPunct w:val="0"/>
        <w:topLinePunct w:val="0"/>
        <w:autoSpaceDE w:val="0"/>
        <w:autoSpaceDN w:val="0"/>
        <w:bidi w:val="0"/>
        <w:adjustRightInd w:val="0"/>
        <w:snapToGrid w:val="0"/>
        <w:spacing w:line="640" w:lineRule="exact"/>
        <w:jc w:val="both"/>
        <w:textAlignment w:val="baseline"/>
        <w:rPr>
          <w:rFonts w:hint="default" w:ascii="Times New Roman" w:hAnsi="Times New Roman" w:eastAsia="仿宋_GB2312" w:cs="Times New Roman"/>
          <w:color w:val="0D0D0D" w:themeColor="text1" w:themeTint="F2"/>
          <w:sz w:val="44"/>
          <w:szCs w:val="44"/>
          <w:lang w:val="en-US" w:eastAsia="zh-CN"/>
          <w14:textFill>
            <w14:solidFill>
              <w14:schemeClr w14:val="tx1">
                <w14:lumMod w14:val="95000"/>
                <w14:lumOff w14:val="5000"/>
              </w14:schemeClr>
            </w14:solidFill>
          </w14:textFill>
        </w:rPr>
      </w:pPr>
    </w:p>
    <w:p w14:paraId="571C88D4">
      <w:pPr>
        <w:pStyle w:val="3"/>
        <w:keepNext w:val="0"/>
        <w:keepLines w:val="0"/>
        <w:pageBreakBefore w:val="0"/>
        <w:widowControl w:val="0"/>
        <w:kinsoku/>
        <w:wordWrap/>
        <w:overflowPunct w:val="0"/>
        <w:topLinePunct w:val="0"/>
        <w:autoSpaceDE w:val="0"/>
        <w:autoSpaceDN w:val="0"/>
        <w:bidi w:val="0"/>
        <w:adjustRightInd w:val="0"/>
        <w:snapToGrid w:val="0"/>
        <w:spacing w:line="640" w:lineRule="exact"/>
        <w:jc w:val="center"/>
        <w:textAlignment w:val="baseline"/>
        <w:rPr>
          <w:rFonts w:hint="default" w:ascii="Times New Roman" w:hAnsi="Times New Roman" w:eastAsia="方正小标宋简体" w:cs="Times New Roman"/>
          <w:color w:val="0D0D0D" w:themeColor="text1" w:themeTint="F2"/>
          <w:sz w:val="44"/>
          <w:szCs w:val="44"/>
          <w:lang w:val="en-US" w:eastAsia="zh-CN"/>
          <w14:textFill>
            <w14:solidFill>
              <w14:schemeClr w14:val="tx1">
                <w14:lumMod w14:val="95000"/>
                <w14:lumOff w14:val="5000"/>
              </w14:schemeClr>
            </w14:solidFill>
          </w14:textFill>
        </w:rPr>
      </w:pPr>
      <w:r>
        <w:rPr>
          <w:rFonts w:hint="default" w:ascii="Times New Roman" w:hAnsi="Times New Roman" w:eastAsia="方正小标宋简体" w:cs="Times New Roman"/>
          <w:color w:val="0D0D0D" w:themeColor="text1" w:themeTint="F2"/>
          <w:sz w:val="44"/>
          <w:szCs w:val="44"/>
          <w:lang w:val="en-US" w:eastAsia="zh-CN"/>
          <w14:textFill>
            <w14:solidFill>
              <w14:schemeClr w14:val="tx1">
                <w14:lumMod w14:val="95000"/>
                <w14:lumOff w14:val="5000"/>
              </w14:schemeClr>
            </w14:solidFill>
          </w14:textFill>
        </w:rPr>
        <w:t>专项任务项目选题指南</w:t>
      </w:r>
    </w:p>
    <w:p w14:paraId="4D7FE317">
      <w:pPr>
        <w:pStyle w:val="3"/>
        <w:keepNext w:val="0"/>
        <w:keepLines w:val="0"/>
        <w:pageBreakBefore w:val="0"/>
        <w:widowControl w:val="0"/>
        <w:kinsoku/>
        <w:wordWrap/>
        <w:overflowPunct w:val="0"/>
        <w:topLinePunct w:val="0"/>
        <w:autoSpaceDE w:val="0"/>
        <w:autoSpaceDN w:val="0"/>
        <w:bidi w:val="0"/>
        <w:adjustRightInd w:val="0"/>
        <w:snapToGrid w:val="0"/>
        <w:spacing w:line="640" w:lineRule="exact"/>
        <w:jc w:val="both"/>
        <w:textAlignment w:val="baseline"/>
        <w:rPr>
          <w:rFonts w:hint="default" w:ascii="Times New Roman" w:hAnsi="Times New Roman" w:eastAsia="仿宋_GB2312" w:cs="Times New Roman"/>
          <w:color w:val="0D0D0D" w:themeColor="text1" w:themeTint="F2"/>
          <w:sz w:val="36"/>
          <w:szCs w:val="36"/>
          <w:lang w:val="en-US" w:eastAsia="zh-CN"/>
          <w14:textFill>
            <w14:solidFill>
              <w14:schemeClr w14:val="tx1">
                <w14:lumMod w14:val="95000"/>
                <w14:lumOff w14:val="5000"/>
              </w14:schemeClr>
            </w14:solidFill>
          </w14:textFill>
        </w:rPr>
      </w:pPr>
    </w:p>
    <w:p w14:paraId="58D07591">
      <w:pPr>
        <w:pStyle w:val="3"/>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0" w:firstLine="640" w:firstLineChars="200"/>
        <w:jc w:val="both"/>
        <w:textAlignment w:val="baseline"/>
        <w:rPr>
          <w:rFonts w:hint="default" w:ascii="Times New Roman" w:hAnsi="Times New Roman" w:eastAsia="黑体"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eastAsia="黑体" w:cs="Times New Roman"/>
          <w:color w:val="0D0D0D" w:themeColor="text1" w:themeTint="F2"/>
          <w:sz w:val="32"/>
          <w:szCs w:val="32"/>
          <w:highlight w:val="none"/>
          <w:lang w:val="en-US" w:eastAsia="zh-CN"/>
          <w14:textFill>
            <w14:solidFill>
              <w14:schemeClr w14:val="tx1">
                <w14:lumMod w14:val="95000"/>
                <w14:lumOff w14:val="5000"/>
              </w14:schemeClr>
            </w14:solidFill>
          </w14:textFill>
        </w:rPr>
        <w:t>一、思想政治理论课研究</w:t>
      </w:r>
      <w:r>
        <w:rPr>
          <w:rFonts w:hint="eastAsia" w:ascii="Times New Roman" w:hAnsi="Times New Roman" w:eastAsia="黑体" w:cs="Times New Roman"/>
          <w:color w:val="0D0D0D" w:themeColor="text1" w:themeTint="F2"/>
          <w:sz w:val="32"/>
          <w:szCs w:val="32"/>
          <w:highlight w:val="none"/>
          <w:lang w:val="en-US" w:eastAsia="zh-CN"/>
          <w14:textFill>
            <w14:solidFill>
              <w14:schemeClr w14:val="tx1">
                <w14:lumMod w14:val="95000"/>
                <w14:lumOff w14:val="5000"/>
              </w14:schemeClr>
            </w14:solidFill>
          </w14:textFill>
        </w:rPr>
        <w:t>专项</w:t>
      </w:r>
    </w:p>
    <w:p w14:paraId="5407CE06">
      <w:pPr>
        <w:pStyle w:val="3"/>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0" w:firstLine="640" w:firstLineChars="200"/>
        <w:jc w:val="both"/>
        <w:textAlignment w:val="baseline"/>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1.习近平总书记关于思想政治工作和思政课建设的重要论述研究</w:t>
      </w:r>
    </w:p>
    <w:p w14:paraId="4C850A1F">
      <w:pPr>
        <w:pStyle w:val="3"/>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0" w:firstLine="640" w:firstLineChars="200"/>
        <w:jc w:val="both"/>
        <w:textAlignment w:val="baseline"/>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2.习近平新时代中国特色社会主义思想融入高校专业课程教学研究</w:t>
      </w:r>
    </w:p>
    <w:p w14:paraId="1C5DC4B9">
      <w:pPr>
        <w:pStyle w:val="3"/>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0" w:firstLine="640" w:firstLineChars="200"/>
        <w:jc w:val="both"/>
        <w:textAlignment w:val="baseline"/>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3.习近平文化思想引领高校思政课建设、校园文化建设与青年学生价值观塑造研究</w:t>
      </w:r>
    </w:p>
    <w:p w14:paraId="32D648E2">
      <w:pPr>
        <w:pStyle w:val="3"/>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0" w:firstLine="640" w:firstLineChars="200"/>
        <w:jc w:val="both"/>
        <w:textAlignment w:val="baseline"/>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4.湖北推进新时代立德树人工程创新路径与评价体系研究</w:t>
      </w:r>
    </w:p>
    <w:p w14:paraId="5597B2B5">
      <w:pPr>
        <w:pStyle w:val="3"/>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0" w:firstLine="640" w:firstLineChars="200"/>
        <w:jc w:val="both"/>
        <w:textAlignment w:val="baseline"/>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5.大别山精神、抗洪精神、抗疫精神赋能高校思想政治教育和思政课建设研究</w:t>
      </w:r>
    </w:p>
    <w:p w14:paraId="7C5765A0">
      <w:pPr>
        <w:pStyle w:val="3"/>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0" w:firstLine="640" w:firstLineChars="200"/>
        <w:jc w:val="both"/>
        <w:textAlignment w:val="baseline"/>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6.校地联建红色实践教学基地协同育人研究</w:t>
      </w:r>
    </w:p>
    <w:p w14:paraId="6388983D">
      <w:pPr>
        <w:pStyle w:val="3"/>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0" w:firstLine="640" w:firstLineChars="200"/>
        <w:jc w:val="both"/>
        <w:textAlignment w:val="baseline"/>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7.高校</w:t>
      </w: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fldChar w:fldCharType="begin"/>
      </w: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instrText xml:space="preserve"> HYPERLINK "https://www.baidu.com/link?url=QNZjuInDI02H7r979RS3uEF55dk22lZ-sCk-ScXcM3apEbSGtF22gXcrlAgBCl5jqGoFsgpFGzRdv68sRa38K4WJfte9KGMZ7nYE1cAjO5W&amp;wd=&amp;eqid=fb9de7e9001a826c000000066a57629f" \t "https://www.baidu.com/_blank" </w:instrText>
      </w: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fldChar w:fldCharType="separate"/>
      </w: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思政课教师队伍配备培训与职业发展机制研究</w:t>
      </w: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fldChar w:fldCharType="end"/>
      </w:r>
    </w:p>
    <w:p w14:paraId="4586B80F">
      <w:pPr>
        <w:pStyle w:val="3"/>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0" w:firstLine="640" w:firstLineChars="200"/>
        <w:jc w:val="both"/>
        <w:textAlignment w:val="baseline"/>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8.基于学情精准画像的高校思政课分层分类教学改革与实践研究</w:t>
      </w:r>
    </w:p>
    <w:p w14:paraId="76831BBB">
      <w:pPr>
        <w:pStyle w:val="3"/>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0" w:firstLine="640" w:firstLineChars="200"/>
        <w:jc w:val="both"/>
        <w:textAlignment w:val="baseline"/>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9.思政课程与课程思政同向同行的融合逻辑、实践范式与协同机制研究</w:t>
      </w:r>
      <w:bookmarkStart w:id="0" w:name="_GoBack"/>
      <w:bookmarkEnd w:id="0"/>
    </w:p>
    <w:p w14:paraId="5699BBA4">
      <w:pPr>
        <w:pStyle w:val="3"/>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0" w:firstLine="640" w:firstLineChars="200"/>
        <w:jc w:val="both"/>
        <w:textAlignment w:val="baseline"/>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10.高校思政课优质教学资源的整合开发、共建共享与高效利用机制研究</w:t>
      </w:r>
    </w:p>
    <w:p w14:paraId="18E70BB1">
      <w:pPr>
        <w:pStyle w:val="3"/>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0" w:firstLine="640" w:firstLineChars="200"/>
        <w:jc w:val="both"/>
        <w:textAlignment w:val="baseline"/>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11.“行走的思政课”常态化实施机制与品牌化建设路径研究</w:t>
      </w:r>
    </w:p>
    <w:p w14:paraId="6B4B9140">
      <w:pPr>
        <w:pStyle w:val="3"/>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0" w:firstLine="640" w:firstLineChars="200"/>
        <w:jc w:val="both"/>
        <w:textAlignment w:val="baseline"/>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12.志愿服务、社会实践、场馆育人融入高校思政体系的常态化机制研究</w:t>
      </w:r>
    </w:p>
    <w:p w14:paraId="6D9E3ECC">
      <w:pPr>
        <w:pStyle w:val="3"/>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0" w:firstLine="640" w:firstLineChars="200"/>
        <w:jc w:val="both"/>
        <w:textAlignment w:val="baseline"/>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13.高校思政课教学督导机制改革与课堂教学质量提质增效路径研究</w:t>
      </w:r>
    </w:p>
    <w:p w14:paraId="6FE8DCAD">
      <w:pPr>
        <w:pStyle w:val="3"/>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0" w:firstLine="640" w:firstLineChars="200"/>
        <w:jc w:val="both"/>
        <w:textAlignment w:val="baseline"/>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14.大中小学思想政治教育与思政课一体化建设研究</w:t>
      </w:r>
    </w:p>
    <w:p w14:paraId="1B2475B5">
      <w:pPr>
        <w:pStyle w:val="3"/>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0" w:firstLine="640" w:firstLineChars="200"/>
        <w:jc w:val="both"/>
        <w:textAlignment w:val="baseline"/>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15.一体化背景下思政课教师跨学段协同备课、联合教研机</w:t>
      </w:r>
      <w:r>
        <w:rPr>
          <w:rFonts w:hint="eastAsia"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制研究</w:t>
      </w:r>
    </w:p>
    <w:p w14:paraId="397352A2">
      <w:pPr>
        <w:pStyle w:val="3"/>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0" w:firstLine="640" w:firstLineChars="200"/>
        <w:jc w:val="both"/>
        <w:textAlignment w:val="baseline"/>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eastAsia="黑体" w:cs="Times New Roman"/>
          <w:color w:val="0D0D0D" w:themeColor="text1" w:themeTint="F2"/>
          <w:sz w:val="32"/>
          <w:szCs w:val="32"/>
          <w:highlight w:val="none"/>
          <w:lang w:val="en-US" w:eastAsia="zh-CN"/>
          <w14:textFill>
            <w14:solidFill>
              <w14:schemeClr w14:val="tx1">
                <w14:lumMod w14:val="95000"/>
                <w14:lumOff w14:val="5000"/>
              </w14:schemeClr>
            </w14:solidFill>
          </w14:textFill>
        </w:rPr>
        <w:t>二、高校辅导员研究</w:t>
      </w:r>
      <w:r>
        <w:rPr>
          <w:rFonts w:hint="eastAsia" w:ascii="Times New Roman" w:hAnsi="Times New Roman" w:eastAsia="黑体" w:cs="Times New Roman"/>
          <w:color w:val="0D0D0D" w:themeColor="text1" w:themeTint="F2"/>
          <w:sz w:val="32"/>
          <w:szCs w:val="32"/>
          <w:highlight w:val="none"/>
          <w:lang w:val="en-US" w:eastAsia="zh-CN"/>
          <w14:textFill>
            <w14:solidFill>
              <w14:schemeClr w14:val="tx1">
                <w14:lumMod w14:val="95000"/>
                <w14:lumOff w14:val="5000"/>
              </w14:schemeClr>
            </w14:solidFill>
          </w14:textFill>
        </w:rPr>
        <w:t>专项</w:t>
      </w:r>
    </w:p>
    <w:p w14:paraId="095C2F0A">
      <w:pPr>
        <w:pStyle w:val="3"/>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0" w:firstLine="640" w:firstLineChars="200"/>
        <w:jc w:val="both"/>
        <w:textAlignment w:val="baseline"/>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1.湖北省高校辅导员队伍配备现状与动态补齐机制研究</w:t>
      </w:r>
    </w:p>
    <w:p w14:paraId="2D5D452A">
      <w:pPr>
        <w:pStyle w:val="3"/>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0" w:firstLine="640" w:firstLineChars="200"/>
        <w:jc w:val="both"/>
        <w:textAlignment w:val="baseline"/>
        <w:rPr>
          <w:rFonts w:hint="eastAsia"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2.辅导员岗前培训、在岗轮训、骨干研修一体化培训体系构建</w:t>
      </w:r>
      <w:r>
        <w:rPr>
          <w:rFonts w:hint="eastAsia"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研究</w:t>
      </w:r>
    </w:p>
    <w:p w14:paraId="575747FA">
      <w:pPr>
        <w:pStyle w:val="3"/>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0" w:firstLine="640" w:firstLineChars="200"/>
        <w:jc w:val="both"/>
        <w:textAlignment w:val="baseline"/>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3.网络舆情视域下高校辅导员风险处置能力建设研究</w:t>
      </w:r>
    </w:p>
    <w:p w14:paraId="5CD30C54">
      <w:pPr>
        <w:pStyle w:val="3"/>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0" w:firstLine="640" w:firstLineChars="200"/>
        <w:jc w:val="both"/>
        <w:textAlignment w:val="baseline"/>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4.新型社交空间学生网络失范行为前置干预研究</w:t>
      </w:r>
    </w:p>
    <w:p w14:paraId="7F9D7594">
      <w:pPr>
        <w:pStyle w:val="3"/>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0" w:firstLine="640" w:firstLineChars="200"/>
        <w:jc w:val="both"/>
        <w:textAlignment w:val="baseline"/>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5.高校辅导员工作室品牌建设、运行实效评价与长效培育机制</w:t>
      </w:r>
      <w:r>
        <w:rPr>
          <w:rFonts w:hint="eastAsia"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研究</w:t>
      </w:r>
    </w:p>
    <w:p w14:paraId="3AAC6FF4">
      <w:pPr>
        <w:pStyle w:val="3"/>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0" w:firstLine="640" w:firstLineChars="200"/>
        <w:jc w:val="both"/>
        <w:textAlignment w:val="baseline"/>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6.学生思想动态精准研判机制与常态化思想引领策略研究</w:t>
      </w:r>
    </w:p>
    <w:p w14:paraId="4003FE0D">
      <w:pPr>
        <w:pStyle w:val="3"/>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0" w:firstLine="640" w:firstLineChars="200"/>
        <w:jc w:val="both"/>
        <w:textAlignment w:val="baseline"/>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7.学生心理危机分级干预与闭环管理机制、心理健康教育与思想政治教育融合研究</w:t>
      </w:r>
    </w:p>
    <w:p w14:paraId="70AF4AA6">
      <w:pPr>
        <w:pStyle w:val="3"/>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0" w:firstLine="640" w:firstLineChars="200"/>
        <w:jc w:val="both"/>
        <w:textAlignment w:val="baseline"/>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8.高校思政课教师、辅导员、班主任等协同育人</w:t>
      </w:r>
      <w:r>
        <w:rPr>
          <w:rFonts w:hint="eastAsia"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路径</w:t>
      </w: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研究</w:t>
      </w:r>
    </w:p>
    <w:p w14:paraId="5A94B559">
      <w:pPr>
        <w:pStyle w:val="3"/>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0" w:firstLine="640" w:firstLineChars="200"/>
        <w:jc w:val="both"/>
        <w:textAlignment w:val="baseline"/>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9.高校党员在网络空间发挥作用实践路径研究</w:t>
      </w:r>
    </w:p>
    <w:p w14:paraId="60EB538F">
      <w:pPr>
        <w:pStyle w:val="3"/>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0" w:firstLine="640" w:firstLineChars="200"/>
        <w:jc w:val="both"/>
        <w:textAlignment w:val="baseline"/>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10.辅导员心理帮扶与职业关怀机制研究</w:t>
      </w:r>
    </w:p>
    <w:p w14:paraId="0A4478F5">
      <w:pPr>
        <w:pStyle w:val="3"/>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0" w:firstLine="640" w:firstLineChars="200"/>
        <w:jc w:val="both"/>
        <w:textAlignment w:val="baseline"/>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11.高校辅导员法治思维与合规履职能力提升研究</w:t>
      </w:r>
    </w:p>
    <w:p w14:paraId="7E8185C0">
      <w:pPr>
        <w:pStyle w:val="3"/>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0" w:firstLine="640" w:firstLineChars="200"/>
        <w:jc w:val="both"/>
        <w:textAlignment w:val="baseline"/>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12.湖北重点行业育人共同体建设研究</w:t>
      </w:r>
    </w:p>
    <w:p w14:paraId="7D375826">
      <w:pPr>
        <w:pStyle w:val="3"/>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0" w:firstLine="640" w:firstLineChars="200"/>
        <w:jc w:val="both"/>
        <w:textAlignment w:val="baseline"/>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13.社会主义核心价值观融入学生日常教育研究</w:t>
      </w:r>
    </w:p>
    <w:p w14:paraId="285E625C">
      <w:pPr>
        <w:pStyle w:val="3"/>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0" w:firstLine="640" w:firstLineChars="200"/>
        <w:jc w:val="both"/>
        <w:textAlignment w:val="baseline"/>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t>14.学校家庭社会协同育人研究</w:t>
      </w:r>
    </w:p>
    <w:p w14:paraId="3F1A57E2">
      <w:pPr>
        <w:keepNext w:val="0"/>
        <w:keepLines w:val="0"/>
        <w:pageBreakBefore w:val="0"/>
        <w:widowControl/>
        <w:suppressLineNumbers w:val="0"/>
        <w:wordWrap/>
        <w:topLinePunct w:val="0"/>
        <w:autoSpaceDE w:val="0"/>
        <w:autoSpaceDN w:val="0"/>
        <w:bidi w:val="0"/>
        <w:adjustRightInd w:val="0"/>
        <w:snapToGrid w:val="0"/>
        <w:spacing w:line="560" w:lineRule="exact"/>
        <w:ind w:leftChars="0" w:firstLine="640" w:firstLineChars="200"/>
        <w:jc w:val="left"/>
        <w:textAlignment w:val="baseline"/>
        <w:rPr>
          <w:rFonts w:hint="default" w:ascii="Times New Roman" w:hAnsi="Times New Roman" w:eastAsia="仿宋_GB2312" w:cs="Times New Roman"/>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snapToGrid w:val="0"/>
          <w:color w:val="0D0D0D" w:themeColor="text1" w:themeTint="F2"/>
          <w:kern w:val="0"/>
          <w:sz w:val="32"/>
          <w:szCs w:val="32"/>
          <w:highlight w:val="none"/>
          <w:lang w:val="en-US" w:eastAsia="zh-CN" w:bidi="ar-SA"/>
          <w14:textFill>
            <w14:solidFill>
              <w14:schemeClr w14:val="tx1">
                <w14:lumMod w14:val="95000"/>
                <w14:lumOff w14:val="5000"/>
              </w14:schemeClr>
            </w14:solidFill>
          </w14:textFill>
        </w:rPr>
        <w:t>15.学生个人自媒体、校园直播等引导管理与辅导员数字素养培育及网络育人能力提升路径研究</w:t>
      </w:r>
    </w:p>
    <w:sectPr>
      <w:footerReference r:id="rId5" w:type="default"/>
      <w:pgSz w:w="11906" w:h="16839"/>
      <w:pgMar w:top="2098" w:right="1474" w:bottom="680" w:left="1587" w:header="0" w:footer="1361" w:gutter="0"/>
      <w:pgNumType w:fmt="decimal"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仿宋"/>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457C5">
    <w:pPr>
      <w:spacing w:line="233" w:lineRule="auto"/>
      <w:ind w:left="3928"/>
      <w:rPr>
        <w:rFonts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52751C">
                          <w:pPr>
                            <w:pStyle w:val="4"/>
                            <w:keepNext w:val="0"/>
                            <w:keepLines w:val="0"/>
                            <w:pageBreakBefore w:val="0"/>
                            <w:widowControl/>
                            <w:kinsoku w:val="0"/>
                            <w:wordWrap/>
                            <w:overflowPunct/>
                            <w:topLinePunct w:val="0"/>
                            <w:bidi w:val="0"/>
                            <w:adjustRightInd w:val="0"/>
                            <w:snapToGrid w:val="0"/>
                            <w:ind w:right="210" w:rightChars="100" w:firstLine="280" w:firstLineChars="100"/>
                            <w:textAlignment w:val="baseline"/>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852751C">
                    <w:pPr>
                      <w:pStyle w:val="4"/>
                      <w:keepNext w:val="0"/>
                      <w:keepLines w:val="0"/>
                      <w:pageBreakBefore w:val="0"/>
                      <w:widowControl/>
                      <w:kinsoku w:val="0"/>
                      <w:wordWrap/>
                      <w:overflowPunct/>
                      <w:topLinePunct w:val="0"/>
                      <w:bidi w:val="0"/>
                      <w:adjustRightInd w:val="0"/>
                      <w:snapToGrid w:val="0"/>
                      <w:ind w:right="210" w:rightChars="100" w:firstLine="280" w:firstLineChars="100"/>
                      <w:textAlignment w:val="baseline"/>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351550"/>
    <w:rsid w:val="007A4FD5"/>
    <w:rsid w:val="01536131"/>
    <w:rsid w:val="019E57CC"/>
    <w:rsid w:val="02323A76"/>
    <w:rsid w:val="02FC5036"/>
    <w:rsid w:val="04A85F3D"/>
    <w:rsid w:val="065134EF"/>
    <w:rsid w:val="07A27005"/>
    <w:rsid w:val="07EB5EDF"/>
    <w:rsid w:val="095C69F8"/>
    <w:rsid w:val="09995EAE"/>
    <w:rsid w:val="0A0C3321"/>
    <w:rsid w:val="0C8112BE"/>
    <w:rsid w:val="0C9101B7"/>
    <w:rsid w:val="0CC718E9"/>
    <w:rsid w:val="0D0876D2"/>
    <w:rsid w:val="0D8E5FAA"/>
    <w:rsid w:val="0EBB1FCA"/>
    <w:rsid w:val="0EDF7256"/>
    <w:rsid w:val="0F031FBA"/>
    <w:rsid w:val="103E7811"/>
    <w:rsid w:val="10412039"/>
    <w:rsid w:val="10AA3894"/>
    <w:rsid w:val="124D44D7"/>
    <w:rsid w:val="13F22685"/>
    <w:rsid w:val="14D02DF5"/>
    <w:rsid w:val="166D5164"/>
    <w:rsid w:val="16F92D57"/>
    <w:rsid w:val="17C35773"/>
    <w:rsid w:val="18E61CD2"/>
    <w:rsid w:val="19640AF6"/>
    <w:rsid w:val="1A0D46E6"/>
    <w:rsid w:val="1AE16104"/>
    <w:rsid w:val="1B3C1444"/>
    <w:rsid w:val="1BD04F77"/>
    <w:rsid w:val="1DAD49A4"/>
    <w:rsid w:val="1DBD7DBA"/>
    <w:rsid w:val="1EE84693"/>
    <w:rsid w:val="1FF4693B"/>
    <w:rsid w:val="202C7C81"/>
    <w:rsid w:val="21026DD4"/>
    <w:rsid w:val="23000A3F"/>
    <w:rsid w:val="23190069"/>
    <w:rsid w:val="234A68F1"/>
    <w:rsid w:val="239D6D67"/>
    <w:rsid w:val="24417C14"/>
    <w:rsid w:val="245F6AE1"/>
    <w:rsid w:val="24A361D8"/>
    <w:rsid w:val="24AA5ADF"/>
    <w:rsid w:val="2916264F"/>
    <w:rsid w:val="29B7198F"/>
    <w:rsid w:val="2A5771F3"/>
    <w:rsid w:val="2B382564"/>
    <w:rsid w:val="2B6A7A50"/>
    <w:rsid w:val="2BF460A6"/>
    <w:rsid w:val="2C1A76C8"/>
    <w:rsid w:val="2C280C3B"/>
    <w:rsid w:val="2C2E625A"/>
    <w:rsid w:val="2CD177B2"/>
    <w:rsid w:val="2D3E73E6"/>
    <w:rsid w:val="2EBA16BE"/>
    <w:rsid w:val="2F34284F"/>
    <w:rsid w:val="2FE96BB5"/>
    <w:rsid w:val="31945827"/>
    <w:rsid w:val="31AC7601"/>
    <w:rsid w:val="32E62FCC"/>
    <w:rsid w:val="32F72DCA"/>
    <w:rsid w:val="336652BD"/>
    <w:rsid w:val="343E5F1E"/>
    <w:rsid w:val="34B35697"/>
    <w:rsid w:val="34C77CC1"/>
    <w:rsid w:val="35DF4502"/>
    <w:rsid w:val="35FE216C"/>
    <w:rsid w:val="36592B9B"/>
    <w:rsid w:val="36E13C33"/>
    <w:rsid w:val="37CA44ED"/>
    <w:rsid w:val="38CF6B0A"/>
    <w:rsid w:val="39E058BC"/>
    <w:rsid w:val="3A145757"/>
    <w:rsid w:val="3B2319C9"/>
    <w:rsid w:val="3BDC04F6"/>
    <w:rsid w:val="3D17730C"/>
    <w:rsid w:val="3E3C0B89"/>
    <w:rsid w:val="3E497999"/>
    <w:rsid w:val="40CF23D7"/>
    <w:rsid w:val="437F7B77"/>
    <w:rsid w:val="43853844"/>
    <w:rsid w:val="44EE129A"/>
    <w:rsid w:val="452151CC"/>
    <w:rsid w:val="45765517"/>
    <w:rsid w:val="45B7168C"/>
    <w:rsid w:val="45BA2D32"/>
    <w:rsid w:val="46E464B1"/>
    <w:rsid w:val="49A563CB"/>
    <w:rsid w:val="4D3B7D6A"/>
    <w:rsid w:val="4D8C0196"/>
    <w:rsid w:val="4E0F3F30"/>
    <w:rsid w:val="4E431A75"/>
    <w:rsid w:val="4ECE6799"/>
    <w:rsid w:val="4FBD3368"/>
    <w:rsid w:val="4FC42F5B"/>
    <w:rsid w:val="50286274"/>
    <w:rsid w:val="50D3504C"/>
    <w:rsid w:val="51B62833"/>
    <w:rsid w:val="52D115BA"/>
    <w:rsid w:val="547A0454"/>
    <w:rsid w:val="54C77A3B"/>
    <w:rsid w:val="54F72584"/>
    <w:rsid w:val="56C80241"/>
    <w:rsid w:val="574C432A"/>
    <w:rsid w:val="59BE7035"/>
    <w:rsid w:val="59CA1E91"/>
    <w:rsid w:val="5A767910"/>
    <w:rsid w:val="5B3315B3"/>
    <w:rsid w:val="5B493F8B"/>
    <w:rsid w:val="5BA874A9"/>
    <w:rsid w:val="5C4B1A02"/>
    <w:rsid w:val="5C62034C"/>
    <w:rsid w:val="5D3001D6"/>
    <w:rsid w:val="5DA545EC"/>
    <w:rsid w:val="5E4A533B"/>
    <w:rsid w:val="5E544DAE"/>
    <w:rsid w:val="5EF01D58"/>
    <w:rsid w:val="6078165F"/>
    <w:rsid w:val="608C46D5"/>
    <w:rsid w:val="61325FF7"/>
    <w:rsid w:val="61435CBB"/>
    <w:rsid w:val="61A2223E"/>
    <w:rsid w:val="61BC3E5A"/>
    <w:rsid w:val="625F763D"/>
    <w:rsid w:val="639B5416"/>
    <w:rsid w:val="63AE4312"/>
    <w:rsid w:val="652F5D31"/>
    <w:rsid w:val="66996E60"/>
    <w:rsid w:val="69020977"/>
    <w:rsid w:val="690F524C"/>
    <w:rsid w:val="691A5C56"/>
    <w:rsid w:val="693B7ECC"/>
    <w:rsid w:val="699B4C9D"/>
    <w:rsid w:val="6A656EC8"/>
    <w:rsid w:val="6B7F24A2"/>
    <w:rsid w:val="6C076D63"/>
    <w:rsid w:val="6C8C3392"/>
    <w:rsid w:val="6CA65E33"/>
    <w:rsid w:val="6CE2758F"/>
    <w:rsid w:val="6CE6684F"/>
    <w:rsid w:val="6DB3508D"/>
    <w:rsid w:val="6FFD1845"/>
    <w:rsid w:val="701A58B8"/>
    <w:rsid w:val="705767E7"/>
    <w:rsid w:val="71007D30"/>
    <w:rsid w:val="71397F73"/>
    <w:rsid w:val="7148395C"/>
    <w:rsid w:val="717012AA"/>
    <w:rsid w:val="7496678D"/>
    <w:rsid w:val="75AE5679"/>
    <w:rsid w:val="76A159A3"/>
    <w:rsid w:val="76CE66B2"/>
    <w:rsid w:val="78686692"/>
    <w:rsid w:val="797E4BE3"/>
    <w:rsid w:val="7A325A4F"/>
    <w:rsid w:val="7A5213A8"/>
    <w:rsid w:val="7B567926"/>
    <w:rsid w:val="7E2B6198"/>
    <w:rsid w:val="7EC87E8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FangSong_GB2312" w:hAnsi="FangSong_GB2312" w:eastAsia="FangSong_GB2312" w:cs="FangSong_GB2312"/>
      <w:sz w:val="35"/>
      <w:szCs w:val="35"/>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Strong"/>
    <w:basedOn w:val="7"/>
    <w:qFormat/>
    <w:uiPriority w:val="0"/>
    <w:rPr>
      <w:b/>
    </w:rPr>
  </w:style>
  <w:style w:type="character" w:styleId="9">
    <w:name w:val="Emphasis"/>
    <w:basedOn w:val="7"/>
    <w:qFormat/>
    <w:uiPriority w:val="0"/>
    <w:rPr>
      <w:i/>
    </w:rPr>
  </w:style>
  <w:style w:type="character" w:styleId="10">
    <w:name w:val="Hyperlink"/>
    <w:basedOn w:val="7"/>
    <w:qFormat/>
    <w:uiPriority w:val="0"/>
    <w:rPr>
      <w:color w:val="0000FF"/>
      <w:u w:val="single"/>
    </w:rPr>
  </w:style>
  <w:style w:type="table" w:customStyle="1" w:styleId="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Pages>
  <Words>2241</Words>
  <Characters>2365</Characters>
  <TotalTime>14</TotalTime>
  <ScaleCrop>false</ScaleCrop>
  <LinksUpToDate>false</LinksUpToDate>
  <CharactersWithSpaces>2365</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2025-05-26T22:46:00Z</dcterms:created>
  <dc:creator>13340</dc:creator>
  <cp:lastModifiedBy>可乐</cp:lastModifiedBy>
  <cp:lastPrinted>2026-07-28T08:44:00Z</cp:lastPrinted>
  <dcterms:modified xsi:type="dcterms:W3CDTF">2026-07-29T04:07:08Z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2025-06-19T12:47:25Z</vt:filetime>
  </property>
  <property fmtid="{D5CDD505-2E9C-101B-9397-08002B2CF9AE}" pid="4" name="KSOTemplateDocerSaveRecord">
    <vt:lpwstr>eyJoZGlkIjoiZjI2MDg2YTlmYTMzZWU4MmVkZTcwNjljNmU0NjI0NmIiLCJ1c2VySWQiOiI0NTQwNDg1MDAifQ==</vt:lpwstr>
  </property>
  <property fmtid="{D5CDD505-2E9C-101B-9397-08002B2CF9AE}" pid="5" name="KSOProductBuildVer">
    <vt:lpwstr>2052-12.1.0.28043</vt:lpwstr>
  </property>
  <property fmtid="{D5CDD505-2E9C-101B-9397-08002B2CF9AE}" pid="6" name="ICV">
    <vt:lpwstr>748552A9FA954489A7954E15C51F5DFD_12</vt:lpwstr>
  </property>
</Properties>
</file>