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95019">
      <w:pPr>
        <w:spacing w:line="360" w:lineRule="auto"/>
        <w:jc w:val="center"/>
        <w:rPr>
          <w:rFonts w:hint="default" w:ascii="Times New Roman" w:hAnsi="Times New Roman" w:eastAsia="宋体" w:cs="Times New Roman"/>
          <w:b/>
          <w:bCs/>
          <w:color w:val="000000" w:themeColor="text1"/>
          <w:sz w:val="36"/>
          <w:szCs w:val="36"/>
          <w14:textFill>
            <w14:solidFill>
              <w14:schemeClr w14:val="tx1"/>
            </w14:solidFill>
          </w14:textFill>
        </w:rPr>
      </w:pPr>
      <w:bookmarkStart w:id="0" w:name="_Hlk141087014"/>
      <w:r>
        <w:rPr>
          <w:rFonts w:hint="default" w:ascii="Times New Roman" w:hAnsi="Times New Roman" w:eastAsia="宋体" w:cs="Times New Roman"/>
          <w:b/>
          <w:bCs/>
          <w:color w:val="000000" w:themeColor="text1"/>
          <w:sz w:val="36"/>
          <w:szCs w:val="36"/>
          <w14:textFill>
            <w14:solidFill>
              <w14:schemeClr w14:val="tx1"/>
            </w14:solidFill>
          </w14:textFill>
        </w:rPr>
        <w:t>《</w:t>
      </w:r>
      <w:bookmarkStart w:id="1" w:name="_Hlk110786432"/>
      <w:r>
        <w:rPr>
          <w:rFonts w:hint="eastAsia" w:ascii="Times New Roman" w:hAnsi="Times New Roman" w:eastAsia="宋体" w:cs="Times New Roman"/>
          <w:b/>
          <w:bCs/>
          <w:color w:val="000000" w:themeColor="text1"/>
          <w:sz w:val="36"/>
          <w:szCs w:val="36"/>
          <w:lang w:eastAsia="zh-CN"/>
          <w14:textFill>
            <w14:solidFill>
              <w14:schemeClr w14:val="tx1"/>
            </w14:solidFill>
          </w14:textFill>
        </w:rPr>
        <w:t>梨</w:t>
      </w:r>
      <w:r>
        <w:rPr>
          <w:rFonts w:hint="default" w:ascii="Times New Roman" w:hAnsi="Times New Roman" w:eastAsia="宋体" w:cs="Times New Roman"/>
          <w:b/>
          <w:bCs/>
          <w:color w:val="000000" w:themeColor="text1"/>
          <w:sz w:val="36"/>
          <w:szCs w:val="36"/>
          <w14:textFill>
            <w14:solidFill>
              <w14:schemeClr w14:val="tx1"/>
            </w14:solidFill>
          </w14:textFill>
        </w:rPr>
        <w:t>品种及其实质性派生品种鉴定 MNP标记法</w:t>
      </w:r>
      <w:bookmarkEnd w:id="1"/>
      <w:r>
        <w:rPr>
          <w:rFonts w:hint="default" w:ascii="Times New Roman" w:hAnsi="Times New Roman" w:eastAsia="宋体" w:cs="Times New Roman"/>
          <w:b/>
          <w:bCs/>
          <w:color w:val="000000" w:themeColor="text1"/>
          <w:sz w:val="36"/>
          <w:szCs w:val="36"/>
          <w14:textFill>
            <w14:solidFill>
              <w14:schemeClr w14:val="tx1"/>
            </w14:solidFill>
          </w14:textFill>
        </w:rPr>
        <w:t>》</w:t>
      </w:r>
      <w:bookmarkEnd w:id="0"/>
      <w:bookmarkStart w:id="2" w:name="_Hlk116376183"/>
    </w:p>
    <w:p w14:paraId="245D1925">
      <w:pPr>
        <w:spacing w:line="360" w:lineRule="auto"/>
        <w:jc w:val="center"/>
        <w:rPr>
          <w:rFonts w:hint="default" w:ascii="Times New Roman" w:hAnsi="Times New Roman" w:eastAsia="宋体" w:cs="Times New Roman"/>
          <w:b/>
          <w:bCs/>
          <w:color w:val="000000" w:themeColor="text1"/>
          <w:sz w:val="36"/>
          <w:szCs w:val="36"/>
          <w14:textFill>
            <w14:solidFill>
              <w14:schemeClr w14:val="tx1"/>
            </w14:solidFill>
          </w14:textFill>
        </w:rPr>
      </w:pPr>
      <w:r>
        <w:rPr>
          <w:rFonts w:hint="default" w:ascii="Times New Roman" w:hAnsi="Times New Roman" w:eastAsia="宋体" w:cs="Times New Roman"/>
          <w:b/>
          <w:bCs/>
          <w:color w:val="000000" w:themeColor="text1"/>
          <w:sz w:val="36"/>
          <w:szCs w:val="36"/>
          <w14:textFill>
            <w14:solidFill>
              <w14:schemeClr w14:val="tx1"/>
            </w14:solidFill>
          </w14:textFill>
        </w:rPr>
        <w:t>农业行业标准编制说明</w:t>
      </w:r>
    </w:p>
    <w:bookmarkEnd w:id="2"/>
    <w:p w14:paraId="5945CC9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黑体" w:cs="Times New Roman"/>
          <w:bCs/>
          <w:color w:val="000000" w:themeColor="text1"/>
          <w:kern w:val="44"/>
          <w:sz w:val="24"/>
          <w14:textFill>
            <w14:solidFill>
              <w14:schemeClr w14:val="tx1"/>
            </w14:solidFill>
          </w14:textFill>
        </w:rPr>
      </w:pPr>
      <w:r>
        <w:rPr>
          <w:rFonts w:hint="default" w:ascii="Times New Roman" w:hAnsi="Times New Roman" w:eastAsia="黑体" w:cs="Times New Roman"/>
          <w:bCs/>
          <w:color w:val="000000" w:themeColor="text1"/>
          <w:kern w:val="44"/>
          <w:sz w:val="24"/>
          <w14:textFill>
            <w14:solidFill>
              <w14:schemeClr w14:val="tx1"/>
            </w14:solidFill>
          </w14:textFill>
        </w:rPr>
        <w:t>一、工作简况</w:t>
      </w:r>
    </w:p>
    <w:p w14:paraId="0523479D">
      <w:pPr>
        <w:pStyle w:val="5"/>
        <w:spacing w:line="360" w:lineRule="auto"/>
        <w:ind w:firstLine="482"/>
        <w:rPr>
          <w:rFonts w:hint="default" w:ascii="Times New Roman" w:hAnsi="Times New Roman" w:eastAsia="仿宋" w:cs="Times New Roman"/>
          <w:b/>
          <w:bCs/>
          <w:snapToGrid w:val="0"/>
          <w:color w:val="000000" w:themeColor="text1"/>
          <w:kern w:val="0"/>
          <w:sz w:val="24"/>
          <w14:textFill>
            <w14:solidFill>
              <w14:schemeClr w14:val="tx1"/>
            </w14:solidFill>
          </w14:textFill>
        </w:rPr>
      </w:pPr>
      <w:r>
        <w:rPr>
          <w:rFonts w:hint="default" w:ascii="Times New Roman" w:hAnsi="Times New Roman" w:eastAsia="楷体" w:cs="Times New Roman"/>
          <w:b/>
          <w:bCs/>
          <w:color w:val="000000" w:themeColor="text1"/>
          <w:sz w:val="24"/>
          <w14:textFill>
            <w14:solidFill>
              <w14:schemeClr w14:val="tx1"/>
            </w14:solidFill>
          </w14:textFill>
        </w:rPr>
        <w:t>（一）任务来源</w:t>
      </w:r>
      <w:r>
        <w:rPr>
          <w:rFonts w:hint="default" w:ascii="Times New Roman" w:hAnsi="Times New Roman" w:eastAsia="仿宋" w:cs="Times New Roman"/>
          <w:b/>
          <w:bCs/>
          <w:snapToGrid w:val="0"/>
          <w:color w:val="000000" w:themeColor="text1"/>
          <w:kern w:val="0"/>
          <w:sz w:val="24"/>
          <w14:textFill>
            <w14:solidFill>
              <w14:schemeClr w14:val="tx1"/>
            </w14:solidFill>
          </w14:textFill>
        </w:rPr>
        <w:t xml:space="preserve">               </w:t>
      </w:r>
    </w:p>
    <w:p w14:paraId="50EDA027">
      <w:pPr>
        <w:pStyle w:val="5"/>
        <w:spacing w:line="360" w:lineRule="auto"/>
        <w:ind w:firstLine="480"/>
        <w:rPr>
          <w:rFonts w:hint="default" w:ascii="Times New Roman" w:hAnsi="Times New Roman" w:cs="Times New Roman" w:eastAsiaTheme="minorEastAsia"/>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根据《</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关于下达202</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年农业国家和行业标准制修订项目计划的通知</w:t>
      </w:r>
      <w:r>
        <w:rPr>
          <w:rFonts w:hint="default"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(农质标函</w:t>
      </w:r>
      <w:r>
        <w:rPr>
          <w:rFonts w:hint="default" w:ascii="Times New Roman" w:hAnsi="Times New Roman" w:eastAsia="宋体" w:cs="Times New Roman"/>
          <w:snapToGrid w:val="0"/>
          <w:color w:val="000000"/>
          <w:kern w:val="0"/>
          <w:sz w:val="24"/>
          <w:szCs w:val="24"/>
        </w:rPr>
        <w:t>〔202</w:t>
      </w:r>
      <w:r>
        <w:rPr>
          <w:rFonts w:hint="eastAsia" w:ascii="Times New Roman" w:eastAsia="宋体" w:cs="Times New Roman"/>
          <w:snapToGrid w:val="0"/>
          <w:color w:val="000000"/>
          <w:kern w:val="0"/>
          <w:sz w:val="24"/>
          <w:szCs w:val="24"/>
          <w:lang w:val="en-US" w:eastAsia="zh-CN"/>
        </w:rPr>
        <w:t>3</w:t>
      </w:r>
      <w:r>
        <w:rPr>
          <w:rFonts w:hint="default" w:ascii="Times New Roman" w:hAnsi="Times New Roman" w:eastAsia="宋体" w:cs="Times New Roman"/>
          <w:snapToGrid w:val="0"/>
          <w:color w:val="000000"/>
          <w:kern w:val="0"/>
          <w:sz w:val="24"/>
          <w:szCs w:val="24"/>
        </w:rPr>
        <w:t>〕</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51</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号)，</w:t>
      </w:r>
      <w:r>
        <w:rPr>
          <w:rFonts w:hint="default"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由江汉大学承担</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w:t>
      </w:r>
      <w:r>
        <w:rPr>
          <w:rFonts w:hint="eastAsia" w:ascii="Times New Roman" w:cs="Times New Roman" w:eastAsiaTheme="minorEastAsia"/>
          <w:bCs/>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品种及其实质性派生品种鉴定 MNP标记法》</w:t>
      </w:r>
      <w:r>
        <w:rPr>
          <w:rFonts w:hint="eastAsia" w:ascii="Times New Roman" w:hAnsi="Times New Roman" w:cs="Times New Roman" w:eastAsiaTheme="minorEastAsia"/>
          <w:bCs/>
          <w:snapToGrid w:val="0"/>
          <w:color w:val="000000" w:themeColor="text1"/>
          <w:kern w:val="0"/>
          <w:sz w:val="24"/>
          <w:lang w:eastAsia="zh-CN"/>
          <w14:textFill>
            <w14:solidFill>
              <w14:schemeClr w14:val="tx1"/>
            </w14:solidFill>
          </w14:textFill>
        </w:rPr>
        <w:t>（</w:t>
      </w:r>
      <w:r>
        <w:rPr>
          <w:rFonts w:hint="eastAsia"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项目</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编号NYB-2</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3161</w:t>
      </w:r>
      <w:r>
        <w:rPr>
          <w:rFonts w:hint="eastAsia" w:ascii="Times New Roman" w:hAnsi="Times New Roman" w:cs="Times New Roman" w:eastAsiaTheme="minorEastAsia"/>
          <w:bCs/>
          <w:snapToGrid w:val="0"/>
          <w:color w:val="000000" w:themeColor="text1"/>
          <w:kern w:val="0"/>
          <w:sz w:val="24"/>
          <w:lang w:eastAsia="zh-CN"/>
          <w14:textFill>
            <w14:solidFill>
              <w14:schemeClr w14:val="tx1"/>
            </w14:solidFill>
          </w14:textFill>
        </w:rPr>
        <w:t>）</w:t>
      </w:r>
      <w:r>
        <w:rPr>
          <w:rFonts w:hint="eastAsia"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的</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制定</w:t>
      </w:r>
      <w:r>
        <w:rPr>
          <w:rFonts w:hint="eastAsia" w:ascii="Times New Roman" w:hAnsi="Times New Roman" w:cs="Times New Roman" w:eastAsiaTheme="minorEastAsia"/>
          <w:bCs/>
          <w:snapToGrid w:val="0"/>
          <w:color w:val="000000" w:themeColor="text1"/>
          <w:kern w:val="0"/>
          <w:sz w:val="24"/>
          <w:lang w:val="en-US" w:eastAsia="zh-CN"/>
          <w14:textFill>
            <w14:solidFill>
              <w14:schemeClr w14:val="tx1"/>
            </w14:solidFill>
          </w14:textFill>
        </w:rPr>
        <w:t>工作</w:t>
      </w: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w:t>
      </w:r>
    </w:p>
    <w:p w14:paraId="413AC330">
      <w:pPr>
        <w:pStyle w:val="5"/>
        <w:numPr>
          <w:ilvl w:val="0"/>
          <w:numId w:val="1"/>
        </w:numPr>
        <w:spacing w:line="360" w:lineRule="auto"/>
        <w:ind w:firstLine="482"/>
        <w:rPr>
          <w:rFonts w:hint="default" w:ascii="Times New Roman" w:hAnsi="Times New Roman" w:eastAsia="楷体" w:cs="Times New Roman"/>
          <w:b/>
          <w:bCs/>
          <w:color w:val="000000" w:themeColor="text1"/>
          <w:sz w:val="24"/>
          <w:lang w:val="en-US" w:eastAsia="zh-CN"/>
          <w14:textFill>
            <w14:solidFill>
              <w14:schemeClr w14:val="tx1"/>
            </w14:solidFill>
          </w14:textFill>
        </w:rPr>
      </w:pPr>
      <w:r>
        <w:rPr>
          <w:rFonts w:hint="default" w:ascii="Times New Roman" w:hAnsi="Times New Roman" w:eastAsia="楷体" w:cs="Times New Roman"/>
          <w:b/>
          <w:bCs/>
          <w:color w:val="000000" w:themeColor="text1"/>
          <w:sz w:val="24"/>
          <w:lang w:val="en-US" w:eastAsia="zh-CN"/>
          <w14:textFill>
            <w14:solidFill>
              <w14:schemeClr w14:val="tx1"/>
            </w14:solidFill>
          </w14:textFill>
        </w:rPr>
        <w:t>制定背景</w:t>
      </w:r>
    </w:p>
    <w:p w14:paraId="68CC2F6B">
      <w:pPr>
        <w:pStyle w:val="5"/>
        <w:spacing w:line="360" w:lineRule="auto"/>
        <w:ind w:firstLine="480"/>
        <w:rPr>
          <w:rFonts w:hint="eastAsia" w:ascii="Times New Roman" w:cs="Times New Roman" w:eastAsiaTheme="minorEastAsia"/>
          <w:bCs/>
          <w:snapToGrid w:val="0"/>
          <w:color w:val="auto"/>
          <w:kern w:val="0"/>
          <w:sz w:val="24"/>
          <w:lang w:val="en-US" w:eastAsia="zh-CN"/>
        </w:rPr>
      </w:pP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我国是梨的起源中心，拥有丰富的种质资源。地方梨品种和自主育成的新品种约占我国栽培总面积的 85% ，其中‘黄冠’、‘翠冠’、‘早酥’、‘玉露香’、‘红香酥’、‘翠玉’等经济性状优良的品种，显著促进了我国梨产业的发展。梨属是首个被列入我国植物新品种保护名录的果树属（种），自2016年起，梨新品种申请量显著上升，年平均申请量由个位数提升至40件以上，其中2023年申请量最多，达到42件；截止2023年底，梨新品种</w:t>
      </w:r>
      <w:r>
        <w:rPr>
          <w:rFonts w:hint="eastAsia" w:ascii="Times New Roman" w:cs="Times New Roman" w:eastAsiaTheme="minorEastAsia"/>
          <w:bCs/>
          <w:snapToGrid w:val="0"/>
          <w:color w:val="auto"/>
          <w:kern w:val="0"/>
          <w:sz w:val="24"/>
          <w:lang w:val="en-US" w:eastAsia="zh-CN"/>
        </w:rPr>
        <w:t>申请量合计约295件。</w:t>
      </w:r>
    </w:p>
    <w:p w14:paraId="71F9ACBA">
      <w:pPr>
        <w:pStyle w:val="5"/>
        <w:spacing w:line="360" w:lineRule="auto"/>
        <w:ind w:firstLine="480"/>
        <w:rPr>
          <w:rFonts w:hint="default" w:ascii="Times New Roman" w:cs="Times New Roman" w:eastAsiaTheme="minorEastAsia"/>
          <w:bCs/>
          <w:snapToGrid w:val="0"/>
          <w:color w:val="000000" w:themeColor="text1"/>
          <w:kern w:val="0"/>
          <w:sz w:val="24"/>
          <w:lang w:val="en-US" w:eastAsia="zh-CN"/>
          <w14:textFill>
            <w14:solidFill>
              <w14:schemeClr w14:val="tx1"/>
            </w14:solidFill>
          </w14:textFill>
        </w:rPr>
      </w:pP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梨品种的选育周期长，如通过杂交育种培育出一个新品种，平均育种周期长达 22 年，且资金需求大。然而，梨品种行业面临诸多挑战，未经品种登记、品种权人许可私自繁育苗木，市场套牌、同名异物、同物异名等现象屡见不鲜。加之农业执法、市场监管手段落后、维权周期长、维权难度大等因素，造成侵权现象严重，如 2020 年发生了多起‘苏翠 1 号’‘丹霞红’等侵犯梨品种权的事件，阻碍了梨品种选育的积极性，严重制约梨种业的持续健康发展。</w:t>
      </w:r>
    </w:p>
    <w:p w14:paraId="2E9BCE27">
      <w:pPr>
        <w:pStyle w:val="5"/>
        <w:spacing w:line="360" w:lineRule="auto"/>
        <w:ind w:firstLine="480"/>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pPr>
      <w:r>
        <w:rPr>
          <w:rFonts w:hint="default" w:ascii="Times New Roman" w:cs="Times New Roman" w:eastAsiaTheme="minorEastAsia"/>
          <w:bCs/>
          <w:snapToGrid w:val="0"/>
          <w:color w:val="000000" w:themeColor="text1"/>
          <w:kern w:val="0"/>
          <w:sz w:val="24"/>
          <w:lang w:val="en-US" w:eastAsia="zh-CN"/>
          <w14:textFill>
            <w14:solidFill>
              <w14:schemeClr w14:val="tx1"/>
            </w14:solidFill>
          </w14:textFill>
        </w:rPr>
        <w:t>为改变我国植物品种同质化较为严重的现象，提升我国品种原始创新动力，2018年，农业农村部提出探索实施实质性派生品种制度。2021年12月24日，中华人民共和国第十三届全国人民代表大会常务委员会第三十二次会议通过《全国人民代表大会常务委员会关于修改＜中华人民共和国种子法＞的决定》，自2022年3月1日起施行。新修改《种子法》建立了实质性派生品种制度，规定实质性派生品种制度的实施步骤和办法由国务院规定。为保障《种子法》实质性派生品种制度的科学实施，为国务院规定实施步骤奠定基础，</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因此</w:t>
      </w:r>
      <w:r>
        <w:rPr>
          <w:rFonts w:hint="default" w:ascii="Times New Roman" w:cs="Times New Roman" w:eastAsiaTheme="minorEastAsia"/>
          <w:bCs/>
          <w:snapToGrid w:val="0"/>
          <w:color w:val="000000" w:themeColor="text1"/>
          <w:kern w:val="0"/>
          <w:sz w:val="24"/>
          <w:lang w:val="en-US" w:eastAsia="zh-CN"/>
          <w14:textFill>
            <w14:solidFill>
              <w14:schemeClr w14:val="tx1"/>
            </w14:solidFill>
          </w14:textFill>
        </w:rPr>
        <w:t>急需制定</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梨</w:t>
      </w:r>
      <w:r>
        <w:rPr>
          <w:rFonts w:hint="default" w:ascii="Times New Roman" w:cs="Times New Roman" w:eastAsiaTheme="minorEastAsia"/>
          <w:bCs/>
          <w:snapToGrid w:val="0"/>
          <w:color w:val="000000" w:themeColor="text1"/>
          <w:kern w:val="0"/>
          <w:sz w:val="24"/>
          <w:lang w:val="en-US" w:eastAsia="zh-CN"/>
          <w14:textFill>
            <w14:solidFill>
              <w14:schemeClr w14:val="tx1"/>
            </w14:solidFill>
          </w14:textFill>
        </w:rPr>
        <w:t>实质性派生品种鉴定技术标准</w:t>
      </w:r>
      <w:r>
        <w:rPr>
          <w:rFonts w:hint="eastAsia" w:ascii="Times New Roman" w:cs="Times New Roman" w:eastAsiaTheme="minorEastAsia"/>
          <w:bCs/>
          <w:snapToGrid w:val="0"/>
          <w:color w:val="000000" w:themeColor="text1"/>
          <w:kern w:val="0"/>
          <w:sz w:val="24"/>
          <w:lang w:val="en-US" w:eastAsia="zh-CN"/>
          <w14:textFill>
            <w14:solidFill>
              <w14:schemeClr w14:val="tx1"/>
            </w14:solidFill>
          </w14:textFill>
        </w:rPr>
        <w:t>，以规范梨市场秩序，保障创新性品种的知识产权，促进科研人员的创新动力，提升我国梨品种的原始创新能力。</w:t>
      </w:r>
    </w:p>
    <w:p w14:paraId="2DB10005">
      <w:pPr>
        <w:pStyle w:val="5"/>
        <w:spacing w:line="360" w:lineRule="auto"/>
        <w:ind w:firstLine="482"/>
        <w:rPr>
          <w:rFonts w:hint="default" w:ascii="Times New Roman" w:hAnsi="Times New Roman" w:eastAsia="楷体" w:cs="Times New Roman"/>
          <w:b/>
          <w:bCs/>
          <w:color w:val="000000" w:themeColor="text1"/>
          <w:sz w:val="24"/>
          <w14:textFill>
            <w14:solidFill>
              <w14:schemeClr w14:val="tx1"/>
            </w14:solidFill>
          </w14:textFill>
        </w:rPr>
      </w:pPr>
      <w:r>
        <w:rPr>
          <w:rFonts w:hint="default" w:ascii="Times New Roman" w:hAnsi="Times New Roman" w:eastAsia="楷体" w:cs="Times New Roman"/>
          <w:b/>
          <w:bCs/>
          <w:color w:val="000000" w:themeColor="text1"/>
          <w:sz w:val="24"/>
          <w14:textFill>
            <w14:solidFill>
              <w14:schemeClr w14:val="tx1"/>
            </w14:solidFill>
          </w14:textFill>
        </w:rPr>
        <w:t>（三）</w:t>
      </w:r>
      <w:r>
        <w:rPr>
          <w:rFonts w:hint="default" w:ascii="Times New Roman" w:hAnsi="Times New Roman" w:eastAsia="楷体" w:cs="Times New Roman"/>
          <w:b/>
          <w:bCs/>
          <w:color w:val="000000" w:themeColor="text1"/>
          <w:sz w:val="24"/>
          <w:lang w:val="en-US" w:eastAsia="zh-CN"/>
          <w14:textFill>
            <w14:solidFill>
              <w14:schemeClr w14:val="tx1"/>
            </w14:solidFill>
          </w14:textFill>
        </w:rPr>
        <w:t>起草</w:t>
      </w:r>
      <w:r>
        <w:rPr>
          <w:rFonts w:hint="default" w:ascii="Times New Roman" w:hAnsi="Times New Roman" w:eastAsia="楷体" w:cs="Times New Roman"/>
          <w:b/>
          <w:bCs/>
          <w:color w:val="000000" w:themeColor="text1"/>
          <w:sz w:val="24"/>
          <w14:textFill>
            <w14:solidFill>
              <w14:schemeClr w14:val="tx1"/>
            </w14:solidFill>
          </w14:textFill>
        </w:rPr>
        <w:t>过程</w:t>
      </w:r>
    </w:p>
    <w:p w14:paraId="5773114F">
      <w:pPr>
        <w:pStyle w:val="5"/>
        <w:spacing w:line="360" w:lineRule="auto"/>
        <w:ind w:firstLine="482"/>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b/>
          <w:bCs/>
          <w:color w:val="000000" w:themeColor="text1"/>
          <w:sz w:val="24"/>
          <w14:textFill>
            <w14:solidFill>
              <w14:schemeClr w14:val="tx1"/>
            </w14:solidFill>
          </w14:textFill>
        </w:rPr>
        <w:t>1.起草阶段</w:t>
      </w:r>
    </w:p>
    <w:p w14:paraId="3F996C28">
      <w:pPr>
        <w:pStyle w:val="5"/>
        <w:spacing w:line="360" w:lineRule="auto"/>
        <w:ind w:firstLine="482"/>
        <w:rPr>
          <w:rFonts w:hint="eastAsia" w:ascii="Times New Roman" w:hAnsi="Times New Roman" w:cs="Times New Roman" w:eastAsiaTheme="minorEastAsia"/>
          <w:b w:val="0"/>
          <w:bCs w:val="0"/>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lang w:val="en-US" w:eastAsia="zh-CN"/>
          <w14:textFill>
            <w14:solidFill>
              <w14:schemeClr w14:val="tx1"/>
            </w14:solidFill>
          </w14:textFill>
        </w:rPr>
        <w:t>1.1起草单位</w:t>
      </w:r>
    </w:p>
    <w:p w14:paraId="34B6D936">
      <w:pPr>
        <w:pStyle w:val="5"/>
        <w:spacing w:line="360" w:lineRule="auto"/>
        <w:ind w:firstLine="482"/>
        <w:rPr>
          <w:rFonts w:hint="default" w:ascii="Times New Roman" w:hAnsi="Times New Roman" w:cs="Times New Roman" w:eastAsiaTheme="minorEastAsia"/>
          <w:b w:val="0"/>
          <w:bCs w:val="0"/>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lang w:val="en-US" w:eastAsia="zh-CN"/>
          <w14:textFill>
            <w14:solidFill>
              <w14:schemeClr w14:val="tx1"/>
            </w14:solidFill>
          </w14:textFill>
        </w:rPr>
        <w:t>本文件由江汉大学、农业农村部科技发展中心、武汉明了生物技术有限公司、福建省农业科学院作物研究所、上海市农业科学院、云南省农业科学院质量标准与检测技术研究所、湖北省农业科学院经济作物研究所</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等7家单位起草。</w:t>
      </w:r>
    </w:p>
    <w:p w14:paraId="29F15F61">
      <w:pPr>
        <w:pStyle w:val="5"/>
        <w:spacing w:line="360" w:lineRule="auto"/>
        <w:ind w:firstLine="480"/>
        <w:jc w:val="center"/>
        <w:rPr>
          <w:rFonts w:hint="eastAsia" w:ascii="黑体" w:hAnsi="黑体" w:eastAsia="黑体" w:cs="黑体"/>
          <w:bCs/>
          <w:snapToGrid w:val="0"/>
          <w:color w:val="000000" w:themeColor="text1"/>
          <w:kern w:val="0"/>
          <w:sz w:val="24"/>
          <w14:textFill>
            <w14:solidFill>
              <w14:schemeClr w14:val="tx1"/>
            </w14:solidFill>
          </w14:textFill>
        </w:rPr>
      </w:pPr>
      <w:r>
        <w:rPr>
          <w:rFonts w:hint="eastAsia" w:ascii="黑体" w:hAnsi="黑体" w:eastAsia="黑体" w:cs="黑体"/>
          <w:bCs/>
          <w:snapToGrid w:val="0"/>
          <w:color w:val="000000" w:themeColor="text1"/>
          <w:kern w:val="0"/>
          <w:sz w:val="24"/>
          <w14:textFill>
            <w14:solidFill>
              <w14:schemeClr w14:val="tx1"/>
            </w14:solidFill>
          </w14:textFill>
        </w:rPr>
        <w:t xml:space="preserve">表1 </w:t>
      </w:r>
      <w:r>
        <w:rPr>
          <w:rFonts w:hint="eastAsia" w:ascii="黑体" w:hAnsi="黑体" w:eastAsia="黑体" w:cs="黑体"/>
          <w:bCs/>
          <w:snapToGrid w:val="0"/>
          <w:color w:val="000000" w:themeColor="text1"/>
          <w:kern w:val="0"/>
          <w:sz w:val="24"/>
          <w:lang w:val="en-US" w:eastAsia="zh-CN"/>
          <w14:textFill>
            <w14:solidFill>
              <w14:schemeClr w14:val="tx1"/>
            </w14:solidFill>
          </w14:textFill>
        </w:rPr>
        <w:t>主要</w:t>
      </w:r>
      <w:r>
        <w:rPr>
          <w:rFonts w:hint="eastAsia" w:ascii="黑体" w:hAnsi="黑体" w:eastAsia="黑体" w:cs="黑体"/>
          <w:bCs/>
          <w:snapToGrid w:val="0"/>
          <w:color w:val="000000" w:themeColor="text1"/>
          <w:kern w:val="0"/>
          <w:sz w:val="24"/>
          <w14:textFill>
            <w14:solidFill>
              <w14:schemeClr w14:val="tx1"/>
            </w14:solidFill>
          </w14:textFill>
        </w:rPr>
        <w:t>起草人</w:t>
      </w:r>
      <w:r>
        <w:rPr>
          <w:rFonts w:hint="eastAsia" w:ascii="黑体" w:hAnsi="黑体" w:eastAsia="黑体" w:cs="黑体"/>
          <w:bCs/>
          <w:snapToGrid w:val="0"/>
          <w:color w:val="000000" w:themeColor="text1"/>
          <w:kern w:val="0"/>
          <w:sz w:val="24"/>
          <w:lang w:val="en-US" w:eastAsia="zh-CN"/>
          <w14:textFill>
            <w14:solidFill>
              <w14:schemeClr w14:val="tx1"/>
            </w14:solidFill>
          </w14:textFill>
        </w:rPr>
        <w:t>信息及任务</w:t>
      </w:r>
      <w:r>
        <w:rPr>
          <w:rFonts w:hint="eastAsia" w:ascii="黑体" w:hAnsi="黑体" w:eastAsia="黑体" w:cs="黑体"/>
          <w:bCs/>
          <w:snapToGrid w:val="0"/>
          <w:color w:val="000000" w:themeColor="text1"/>
          <w:kern w:val="0"/>
          <w:sz w:val="24"/>
          <w14:textFill>
            <w14:solidFill>
              <w14:schemeClr w14:val="tx1"/>
            </w14:solidFill>
          </w14:textFill>
        </w:rPr>
        <w:t>分工</w:t>
      </w:r>
    </w:p>
    <w:tbl>
      <w:tblPr>
        <w:tblStyle w:val="13"/>
        <w:tblW w:w="948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60"/>
        <w:gridCol w:w="3413"/>
        <w:gridCol w:w="4294"/>
      </w:tblGrid>
      <w:tr w14:paraId="5825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09EF2471">
            <w:pPr>
              <w:pStyle w:val="5"/>
              <w:spacing w:line="360" w:lineRule="auto"/>
              <w:ind w:firstLine="0" w:firstLineChars="0"/>
              <w:jc w:val="center"/>
              <w:rPr>
                <w:rFonts w:hint="default" w:ascii="Times New Roman" w:hAnsi="Times New Roman" w:cs="Times New Roman" w:eastAsiaTheme="minorEastAsia"/>
                <w:b/>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sz w:val="21"/>
                <w:szCs w:val="21"/>
                <w14:textFill>
                  <w14:solidFill>
                    <w14:schemeClr w14:val="tx1"/>
                  </w14:solidFill>
                </w14:textFill>
              </w:rPr>
              <w:t>序号</w:t>
            </w:r>
          </w:p>
        </w:tc>
        <w:tc>
          <w:tcPr>
            <w:tcW w:w="960" w:type="dxa"/>
            <w:vAlign w:val="center"/>
          </w:tcPr>
          <w:p w14:paraId="28EC4F35">
            <w:pPr>
              <w:pStyle w:val="5"/>
              <w:spacing w:line="360" w:lineRule="auto"/>
              <w:ind w:firstLine="0" w:firstLineChars="0"/>
              <w:jc w:val="center"/>
              <w:rPr>
                <w:rFonts w:hint="default" w:ascii="Times New Roman" w:hAnsi="Times New Roman" w:cs="Times New Roman" w:eastAsiaTheme="minorEastAsia"/>
                <w:b/>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sz w:val="21"/>
                <w:szCs w:val="21"/>
                <w14:textFill>
                  <w14:solidFill>
                    <w14:schemeClr w14:val="tx1"/>
                  </w14:solidFill>
                </w14:textFill>
              </w:rPr>
              <w:t>姓名</w:t>
            </w:r>
          </w:p>
        </w:tc>
        <w:tc>
          <w:tcPr>
            <w:tcW w:w="3413" w:type="dxa"/>
            <w:vAlign w:val="center"/>
          </w:tcPr>
          <w:p w14:paraId="7F97E223">
            <w:pPr>
              <w:pStyle w:val="5"/>
              <w:spacing w:line="360" w:lineRule="auto"/>
              <w:ind w:firstLine="0" w:firstLineChars="0"/>
              <w:jc w:val="center"/>
              <w:rPr>
                <w:rFonts w:hint="default" w:ascii="Times New Roman" w:hAnsi="Times New Roman" w:cs="Times New Roman" w:eastAsiaTheme="minorEastAsia"/>
                <w:b/>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sz w:val="21"/>
                <w:szCs w:val="21"/>
                <w14:textFill>
                  <w14:solidFill>
                    <w14:schemeClr w14:val="tx1"/>
                  </w14:solidFill>
                </w14:textFill>
              </w:rPr>
              <w:t>工作单位</w:t>
            </w:r>
          </w:p>
        </w:tc>
        <w:tc>
          <w:tcPr>
            <w:tcW w:w="4294" w:type="dxa"/>
            <w:vAlign w:val="center"/>
          </w:tcPr>
          <w:p w14:paraId="26BDAD40">
            <w:pPr>
              <w:pStyle w:val="5"/>
              <w:spacing w:line="360" w:lineRule="auto"/>
              <w:ind w:firstLine="0" w:firstLineChars="0"/>
              <w:jc w:val="center"/>
              <w:rPr>
                <w:rFonts w:hint="default" w:ascii="Times New Roman" w:hAnsi="Times New Roman" w:cs="Times New Roman" w:eastAsiaTheme="minorEastAsia"/>
                <w:b/>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sz w:val="21"/>
                <w:szCs w:val="21"/>
                <w14:textFill>
                  <w14:solidFill>
                    <w14:schemeClr w14:val="tx1"/>
                  </w14:solidFill>
                </w14:textFill>
              </w:rPr>
              <w:t>分工</w:t>
            </w:r>
          </w:p>
        </w:tc>
      </w:tr>
      <w:tr w14:paraId="4317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13" w:type="dxa"/>
            <w:shd w:val="clear" w:color="auto" w:fill="auto"/>
            <w:vAlign w:val="center"/>
          </w:tcPr>
          <w:p w14:paraId="639AF19F">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w:t>
            </w:r>
          </w:p>
        </w:tc>
        <w:tc>
          <w:tcPr>
            <w:tcW w:w="960" w:type="dxa"/>
            <w:shd w:val="clear" w:color="auto" w:fill="auto"/>
            <w:vAlign w:val="center"/>
          </w:tcPr>
          <w:p w14:paraId="5E4B6844">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李甜甜</w:t>
            </w:r>
          </w:p>
        </w:tc>
        <w:tc>
          <w:tcPr>
            <w:tcW w:w="3413" w:type="dxa"/>
            <w:shd w:val="clear" w:color="auto" w:fill="auto"/>
            <w:vAlign w:val="center"/>
          </w:tcPr>
          <w:p w14:paraId="6031EAB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vAlign w:val="center"/>
          </w:tcPr>
          <w:p w14:paraId="363DE34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制定标准技术研发方案、组织实施、起草标准文本</w:t>
            </w:r>
          </w:p>
        </w:tc>
      </w:tr>
      <w:tr w14:paraId="0672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vAlign w:val="center"/>
          </w:tcPr>
          <w:p w14:paraId="305A8935">
            <w:pPr>
              <w:pStyle w:val="5"/>
              <w:spacing w:line="360" w:lineRule="auto"/>
              <w:ind w:firstLine="0" w:firstLineChars="0"/>
              <w:jc w:val="center"/>
              <w:rPr>
                <w:rFonts w:hint="eastAsia"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2</w:t>
            </w:r>
          </w:p>
        </w:tc>
        <w:tc>
          <w:tcPr>
            <w:tcW w:w="960" w:type="dxa"/>
            <w:shd w:val="clear" w:color="auto" w:fill="auto"/>
            <w:vAlign w:val="center"/>
          </w:tcPr>
          <w:p w14:paraId="3006AD9E">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彭海</w:t>
            </w:r>
          </w:p>
        </w:tc>
        <w:tc>
          <w:tcPr>
            <w:tcW w:w="3413" w:type="dxa"/>
            <w:shd w:val="clear" w:color="auto" w:fill="auto"/>
            <w:vAlign w:val="center"/>
          </w:tcPr>
          <w:p w14:paraId="207769D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shd w:val="clear" w:color="auto" w:fill="auto"/>
            <w:vAlign w:val="center"/>
          </w:tcPr>
          <w:p w14:paraId="59BC075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标准技术评估</w:t>
            </w: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w:t>
            </w: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起草</w:t>
            </w: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标准文本</w:t>
            </w:r>
          </w:p>
        </w:tc>
      </w:tr>
      <w:tr w14:paraId="11AA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vAlign w:val="center"/>
          </w:tcPr>
          <w:p w14:paraId="6763B8A1">
            <w:pPr>
              <w:pStyle w:val="5"/>
              <w:spacing w:line="360" w:lineRule="auto"/>
              <w:ind w:firstLine="0" w:firstLineChars="0"/>
              <w:jc w:val="center"/>
              <w:rPr>
                <w:rFonts w:hint="eastAsia"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3</w:t>
            </w:r>
          </w:p>
        </w:tc>
        <w:tc>
          <w:tcPr>
            <w:tcW w:w="960" w:type="dxa"/>
            <w:shd w:val="clear" w:color="auto" w:fill="auto"/>
            <w:vAlign w:val="center"/>
          </w:tcPr>
          <w:p w14:paraId="43EFBAFC">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周俊飞</w:t>
            </w:r>
          </w:p>
        </w:tc>
        <w:tc>
          <w:tcPr>
            <w:tcW w:w="3413" w:type="dxa"/>
            <w:shd w:val="clear" w:color="auto" w:fill="auto"/>
            <w:vAlign w:val="center"/>
          </w:tcPr>
          <w:p w14:paraId="698699E5">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shd w:val="clear" w:color="auto" w:fill="auto"/>
            <w:vAlign w:val="center"/>
          </w:tcPr>
          <w:p w14:paraId="38D2A15B">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体系建立、</w:t>
            </w: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品种检测</w:t>
            </w:r>
          </w:p>
        </w:tc>
      </w:tr>
      <w:tr w14:paraId="1251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vAlign w:val="center"/>
          </w:tcPr>
          <w:p w14:paraId="5C8E537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4</w:t>
            </w:r>
          </w:p>
        </w:tc>
        <w:tc>
          <w:tcPr>
            <w:tcW w:w="960" w:type="dxa"/>
            <w:shd w:val="clear" w:color="auto" w:fill="auto"/>
            <w:vAlign w:val="center"/>
          </w:tcPr>
          <w:p w14:paraId="003D6034">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方治伟</w:t>
            </w:r>
          </w:p>
        </w:tc>
        <w:tc>
          <w:tcPr>
            <w:tcW w:w="3413" w:type="dxa"/>
            <w:shd w:val="clear" w:color="auto" w:fill="auto"/>
            <w:vAlign w:val="center"/>
          </w:tcPr>
          <w:p w14:paraId="47CDD1F4">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shd w:val="clear" w:color="auto" w:fill="auto"/>
            <w:vAlign w:val="center"/>
          </w:tcPr>
          <w:p w14:paraId="381F2692">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引物筛选、数据分析与处理</w:t>
            </w:r>
          </w:p>
        </w:tc>
      </w:tr>
      <w:tr w14:paraId="2894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48A0110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5</w:t>
            </w:r>
          </w:p>
        </w:tc>
        <w:tc>
          <w:tcPr>
            <w:tcW w:w="960" w:type="dxa"/>
            <w:vAlign w:val="center"/>
          </w:tcPr>
          <w:p w14:paraId="15707ACF">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张秀杰</w:t>
            </w:r>
          </w:p>
        </w:tc>
        <w:tc>
          <w:tcPr>
            <w:tcW w:w="3413" w:type="dxa"/>
            <w:vAlign w:val="center"/>
          </w:tcPr>
          <w:p w14:paraId="4AC7BFD1">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农业农村部科技发展中心</w:t>
            </w:r>
          </w:p>
        </w:tc>
        <w:tc>
          <w:tcPr>
            <w:tcW w:w="4294" w:type="dxa"/>
            <w:vAlign w:val="center"/>
          </w:tcPr>
          <w:p w14:paraId="743E051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标准技术评估</w:t>
            </w: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、标准文本修改</w:t>
            </w:r>
          </w:p>
        </w:tc>
      </w:tr>
      <w:tr w14:paraId="4C47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vAlign w:val="center"/>
          </w:tcPr>
          <w:p w14:paraId="135F88F1">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6</w:t>
            </w:r>
          </w:p>
        </w:tc>
        <w:tc>
          <w:tcPr>
            <w:tcW w:w="960" w:type="dxa"/>
            <w:shd w:val="clear" w:color="auto" w:fill="auto"/>
            <w:vAlign w:val="center"/>
          </w:tcPr>
          <w:p w14:paraId="7012BE5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董星光</w:t>
            </w:r>
          </w:p>
        </w:tc>
        <w:tc>
          <w:tcPr>
            <w:tcW w:w="3413" w:type="dxa"/>
            <w:shd w:val="clear" w:color="auto" w:fill="auto"/>
            <w:vAlign w:val="center"/>
          </w:tcPr>
          <w:p w14:paraId="7E372AC2">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中国农业科学院果树研究所</w:t>
            </w:r>
          </w:p>
        </w:tc>
        <w:tc>
          <w:tcPr>
            <w:tcW w:w="4294" w:type="dxa"/>
            <w:shd w:val="clear" w:color="auto" w:fill="auto"/>
            <w:vAlign w:val="center"/>
          </w:tcPr>
          <w:p w14:paraId="30625305">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材料收集、标记评价</w:t>
            </w:r>
          </w:p>
        </w:tc>
      </w:tr>
      <w:tr w14:paraId="718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B3C670A">
            <w:pPr>
              <w:pStyle w:val="5"/>
              <w:spacing w:line="360" w:lineRule="auto"/>
              <w:ind w:firstLine="0" w:firstLineChars="0"/>
              <w:jc w:val="center"/>
              <w:rPr>
                <w:rFonts w:hint="default" w:asci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7</w:t>
            </w:r>
          </w:p>
        </w:tc>
        <w:tc>
          <w:tcPr>
            <w:tcW w:w="960" w:type="dxa"/>
            <w:vAlign w:val="center"/>
          </w:tcPr>
          <w:p w14:paraId="45F63155">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陈红</w:t>
            </w:r>
          </w:p>
        </w:tc>
        <w:tc>
          <w:tcPr>
            <w:tcW w:w="3413" w:type="dxa"/>
            <w:vAlign w:val="center"/>
          </w:tcPr>
          <w:p w14:paraId="5E771988">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农业农村部科技发展中心</w:t>
            </w:r>
          </w:p>
        </w:tc>
        <w:tc>
          <w:tcPr>
            <w:tcW w:w="4294" w:type="dxa"/>
            <w:vAlign w:val="center"/>
          </w:tcPr>
          <w:p w14:paraId="7B495634">
            <w:pPr>
              <w:pStyle w:val="5"/>
              <w:spacing w:line="360" w:lineRule="auto"/>
              <w:ind w:firstLine="0" w:firstLineChars="0"/>
              <w:jc w:val="cente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材料收集、标记评价</w:t>
            </w:r>
          </w:p>
        </w:tc>
      </w:tr>
      <w:tr w14:paraId="5BEF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5C5262DA">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8</w:t>
            </w:r>
          </w:p>
        </w:tc>
        <w:tc>
          <w:tcPr>
            <w:tcW w:w="960" w:type="dxa"/>
            <w:vAlign w:val="center"/>
          </w:tcPr>
          <w:p w14:paraId="785D2001">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张凯淅</w:t>
            </w:r>
          </w:p>
        </w:tc>
        <w:tc>
          <w:tcPr>
            <w:tcW w:w="3413" w:type="dxa"/>
            <w:vAlign w:val="center"/>
          </w:tcPr>
          <w:p w14:paraId="5CCF09AC">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农业农村部科技发展中心</w:t>
            </w:r>
          </w:p>
        </w:tc>
        <w:tc>
          <w:tcPr>
            <w:tcW w:w="4294" w:type="dxa"/>
            <w:vAlign w:val="center"/>
          </w:tcPr>
          <w:p w14:paraId="5C96FEC2">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资料收集、</w:t>
            </w: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标准文本修改</w:t>
            </w:r>
          </w:p>
        </w:tc>
      </w:tr>
      <w:tr w14:paraId="6334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03121E5D">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9</w:t>
            </w:r>
          </w:p>
        </w:tc>
        <w:tc>
          <w:tcPr>
            <w:tcW w:w="960" w:type="dxa"/>
            <w:vAlign w:val="center"/>
          </w:tcPr>
          <w:p w14:paraId="7E99B71D">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曹玉芬</w:t>
            </w:r>
          </w:p>
        </w:tc>
        <w:tc>
          <w:tcPr>
            <w:tcW w:w="3413" w:type="dxa"/>
            <w:vAlign w:val="center"/>
          </w:tcPr>
          <w:p w14:paraId="1F3D91E6">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中国农业科学院果树研究所</w:t>
            </w:r>
          </w:p>
        </w:tc>
        <w:tc>
          <w:tcPr>
            <w:tcW w:w="4294" w:type="dxa"/>
            <w:vAlign w:val="center"/>
          </w:tcPr>
          <w:p w14:paraId="7D20671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材料收集、标记评价</w:t>
            </w:r>
          </w:p>
        </w:tc>
      </w:tr>
      <w:tr w14:paraId="778E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3" w:type="dxa"/>
            <w:vAlign w:val="center"/>
          </w:tcPr>
          <w:p w14:paraId="53A7E0D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10</w:t>
            </w:r>
          </w:p>
        </w:tc>
        <w:tc>
          <w:tcPr>
            <w:tcW w:w="960" w:type="dxa"/>
            <w:vAlign w:val="center"/>
          </w:tcPr>
          <w:p w14:paraId="68AF7006">
            <w:pPr>
              <w:pStyle w:val="5"/>
              <w:spacing w:line="360" w:lineRule="auto"/>
              <w:ind w:firstLine="0" w:firstLineChars="0"/>
              <w:jc w:val="cente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李论</w:t>
            </w:r>
          </w:p>
        </w:tc>
        <w:tc>
          <w:tcPr>
            <w:tcW w:w="3413" w:type="dxa"/>
            <w:vAlign w:val="center"/>
          </w:tcPr>
          <w:p w14:paraId="71221E7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vAlign w:val="center"/>
          </w:tcPr>
          <w:p w14:paraId="1B9DFFD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数据分析</w:t>
            </w:r>
          </w:p>
        </w:tc>
      </w:tr>
      <w:tr w14:paraId="5436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6CB6697A">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11</w:t>
            </w:r>
          </w:p>
        </w:tc>
        <w:tc>
          <w:tcPr>
            <w:tcW w:w="960" w:type="dxa"/>
            <w:vAlign w:val="center"/>
          </w:tcPr>
          <w:p w14:paraId="3FBE706D">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田路明</w:t>
            </w:r>
          </w:p>
        </w:tc>
        <w:tc>
          <w:tcPr>
            <w:tcW w:w="3413" w:type="dxa"/>
            <w:vAlign w:val="center"/>
          </w:tcPr>
          <w:p w14:paraId="7C1DFCCD">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中国农业科学院果树研究所</w:t>
            </w:r>
          </w:p>
        </w:tc>
        <w:tc>
          <w:tcPr>
            <w:tcW w:w="4294" w:type="dxa"/>
            <w:vAlign w:val="center"/>
          </w:tcPr>
          <w:p w14:paraId="5BAAAEA2">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材料收集</w:t>
            </w:r>
          </w:p>
        </w:tc>
      </w:tr>
      <w:tr w14:paraId="2F31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3" w:type="dxa"/>
            <w:shd w:val="clear" w:color="auto" w:fill="auto"/>
            <w:vAlign w:val="center"/>
          </w:tcPr>
          <w:p w14:paraId="5DBBD00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bidi="ar-SA"/>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12</w:t>
            </w:r>
          </w:p>
        </w:tc>
        <w:tc>
          <w:tcPr>
            <w:tcW w:w="960" w:type="dxa"/>
            <w:shd w:val="clear" w:color="auto" w:fill="auto"/>
            <w:vAlign w:val="center"/>
          </w:tcPr>
          <w:p w14:paraId="6B22886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张静</w:t>
            </w:r>
          </w:p>
        </w:tc>
        <w:tc>
          <w:tcPr>
            <w:tcW w:w="3413" w:type="dxa"/>
            <w:shd w:val="clear" w:color="auto" w:fill="auto"/>
            <w:vAlign w:val="center"/>
          </w:tcPr>
          <w:p w14:paraId="6030BCC5">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武汉明了生物技术有限公司</w:t>
            </w:r>
          </w:p>
        </w:tc>
        <w:tc>
          <w:tcPr>
            <w:tcW w:w="4294" w:type="dxa"/>
            <w:shd w:val="clear" w:color="auto" w:fill="auto"/>
            <w:vAlign w:val="center"/>
          </w:tcPr>
          <w:p w14:paraId="20B9B88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实验室比对</w:t>
            </w:r>
          </w:p>
        </w:tc>
      </w:tr>
      <w:tr w14:paraId="589E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3" w:type="dxa"/>
            <w:vAlign w:val="center"/>
          </w:tcPr>
          <w:p w14:paraId="2888A3B7">
            <w:pPr>
              <w:pStyle w:val="5"/>
              <w:spacing w:line="360" w:lineRule="auto"/>
              <w:ind w:firstLine="0" w:firstLineChars="0"/>
              <w:jc w:val="center"/>
              <w:rPr>
                <w:rFonts w:hint="default" w:asci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13</w:t>
            </w:r>
          </w:p>
        </w:tc>
        <w:tc>
          <w:tcPr>
            <w:tcW w:w="960" w:type="dxa"/>
            <w:shd w:val="clear" w:color="auto" w:fill="auto"/>
            <w:vAlign w:val="center"/>
          </w:tcPr>
          <w:p w14:paraId="64F4F298">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陈启亮</w:t>
            </w:r>
          </w:p>
        </w:tc>
        <w:tc>
          <w:tcPr>
            <w:tcW w:w="3413" w:type="dxa"/>
            <w:shd w:val="clear" w:color="auto" w:fill="auto"/>
            <w:vAlign w:val="center"/>
          </w:tcPr>
          <w:p w14:paraId="2F44A6C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湖北省农业科学院果树茶叶研究所</w:t>
            </w:r>
          </w:p>
        </w:tc>
        <w:tc>
          <w:tcPr>
            <w:tcW w:w="4294" w:type="dxa"/>
            <w:shd w:val="clear" w:color="auto" w:fill="auto"/>
            <w:vAlign w:val="center"/>
          </w:tcPr>
          <w:p w14:paraId="529834D9">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材料收集</w:t>
            </w:r>
          </w:p>
        </w:tc>
      </w:tr>
      <w:tr w14:paraId="7F88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7C98D453">
            <w:pPr>
              <w:pStyle w:val="5"/>
              <w:spacing w:line="360" w:lineRule="auto"/>
              <w:ind w:firstLine="0" w:firstLineChars="0"/>
              <w:jc w:val="center"/>
              <w:rPr>
                <w:rFonts w:hint="default" w:asci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14</w:t>
            </w:r>
          </w:p>
        </w:tc>
        <w:tc>
          <w:tcPr>
            <w:tcW w:w="960" w:type="dxa"/>
            <w:shd w:val="clear" w:color="auto" w:fill="auto"/>
            <w:vAlign w:val="center"/>
          </w:tcPr>
          <w:p w14:paraId="307A4528">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涂俊凡</w:t>
            </w:r>
          </w:p>
        </w:tc>
        <w:tc>
          <w:tcPr>
            <w:tcW w:w="3413" w:type="dxa"/>
            <w:shd w:val="clear" w:color="auto" w:fill="auto"/>
            <w:vAlign w:val="center"/>
          </w:tcPr>
          <w:p w14:paraId="7EA5E5E5">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湖北省农业科学院果树茶叶研究所</w:t>
            </w:r>
          </w:p>
        </w:tc>
        <w:tc>
          <w:tcPr>
            <w:tcW w:w="4294" w:type="dxa"/>
            <w:shd w:val="clear" w:color="auto" w:fill="auto"/>
            <w:vAlign w:val="center"/>
          </w:tcPr>
          <w:p w14:paraId="1E7A453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材料收集</w:t>
            </w:r>
          </w:p>
        </w:tc>
      </w:tr>
      <w:tr w14:paraId="7E0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17053304">
            <w:pPr>
              <w:pStyle w:val="5"/>
              <w:spacing w:line="360" w:lineRule="auto"/>
              <w:ind w:firstLine="0" w:firstLineChars="0"/>
              <w:jc w:val="center"/>
              <w:rPr>
                <w:rFonts w:hint="default" w:asci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15</w:t>
            </w:r>
          </w:p>
        </w:tc>
        <w:tc>
          <w:tcPr>
            <w:tcW w:w="960" w:type="dxa"/>
            <w:shd w:val="clear" w:color="auto" w:fill="auto"/>
            <w:vAlign w:val="center"/>
          </w:tcPr>
          <w:p w14:paraId="0E2A87E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高利芬</w:t>
            </w:r>
          </w:p>
        </w:tc>
        <w:tc>
          <w:tcPr>
            <w:tcW w:w="3413" w:type="dxa"/>
            <w:shd w:val="clear" w:color="auto" w:fill="auto"/>
            <w:vAlign w:val="center"/>
          </w:tcPr>
          <w:p w14:paraId="1E6577F4">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shd w:val="clear" w:color="auto" w:fill="auto"/>
            <w:vAlign w:val="center"/>
          </w:tcPr>
          <w:p w14:paraId="148471AE">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品种检测</w:t>
            </w:r>
          </w:p>
        </w:tc>
      </w:tr>
      <w:tr w14:paraId="0976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0C8D0F7E">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16</w:t>
            </w:r>
          </w:p>
        </w:tc>
        <w:tc>
          <w:tcPr>
            <w:tcW w:w="960" w:type="dxa"/>
            <w:shd w:val="clear" w:color="auto" w:fill="auto"/>
            <w:vAlign w:val="center"/>
          </w:tcPr>
          <w:p w14:paraId="0A12E423">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陈利红</w:t>
            </w:r>
          </w:p>
        </w:tc>
        <w:tc>
          <w:tcPr>
            <w:tcW w:w="3413" w:type="dxa"/>
            <w:shd w:val="clear" w:color="auto" w:fill="auto"/>
            <w:vAlign w:val="center"/>
          </w:tcPr>
          <w:p w14:paraId="56A384EB">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shd w:val="clear" w:color="auto" w:fill="auto"/>
            <w:vAlign w:val="center"/>
          </w:tcPr>
          <w:p w14:paraId="62759B6B">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实验室比对</w:t>
            </w:r>
          </w:p>
        </w:tc>
      </w:tr>
      <w:tr w14:paraId="07CA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DE7DD67">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1"/>
                <w:szCs w:val="21"/>
                <w:lang w:val="en-US" w:eastAsia="zh-CN"/>
                <w14:textFill>
                  <w14:solidFill>
                    <w14:schemeClr w14:val="tx1"/>
                  </w14:solidFill>
                </w14:textFill>
              </w:rPr>
              <w:t>17</w:t>
            </w:r>
          </w:p>
        </w:tc>
        <w:tc>
          <w:tcPr>
            <w:tcW w:w="960" w:type="dxa"/>
            <w:vAlign w:val="center"/>
          </w:tcPr>
          <w:p w14:paraId="1C03D0B8">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1"/>
                <w:szCs w:val="21"/>
                <w:lang w:val="en-US" w:eastAsia="zh-CN"/>
                <w14:textFill>
                  <w14:solidFill>
                    <w14:schemeClr w14:val="tx1"/>
                  </w14:solidFill>
                </w14:textFill>
              </w:rPr>
              <w:t>肖华锋</w:t>
            </w:r>
          </w:p>
        </w:tc>
        <w:tc>
          <w:tcPr>
            <w:tcW w:w="3413" w:type="dxa"/>
            <w:vAlign w:val="center"/>
          </w:tcPr>
          <w:p w14:paraId="6697EB20">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江汉大学</w:t>
            </w:r>
          </w:p>
        </w:tc>
        <w:tc>
          <w:tcPr>
            <w:tcW w:w="4294" w:type="dxa"/>
            <w:vAlign w:val="center"/>
          </w:tcPr>
          <w:p w14:paraId="6FFBFA96">
            <w:pPr>
              <w:pStyle w:val="5"/>
              <w:spacing w:line="360" w:lineRule="auto"/>
              <w:ind w:firstLine="0" w:firstLineChars="0"/>
              <w:jc w:val="cente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1"/>
                <w14:textFill>
                  <w14:solidFill>
                    <w14:schemeClr w14:val="tx1"/>
                  </w14:solidFill>
                </w14:textFill>
              </w:rPr>
              <w:t>实验室比对</w:t>
            </w:r>
          </w:p>
        </w:tc>
      </w:tr>
    </w:tbl>
    <w:p w14:paraId="3429D5C5">
      <w:pPr>
        <w:pStyle w:val="5"/>
        <w:spacing w:line="360" w:lineRule="auto"/>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1.2前期准备</w:t>
      </w:r>
    </w:p>
    <w:p w14:paraId="73D15F31">
      <w:pPr>
        <w:pStyle w:val="5"/>
        <w:spacing w:line="360" w:lineRule="auto"/>
        <w:ind w:firstLine="480"/>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年</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月，江汉大学</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农业农村部科技发展中心在江汉大学</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农业农村部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项目资助下，利用</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品种的高通量测序数据，</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设计了558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MNP标记位点，建立了基于超多重PCR、高通量测序和大数据处理技术的</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实质性派生品种DNA鉴定技术体系</w:t>
      </w:r>
      <w:r>
        <w:rPr>
          <w:rFonts w:hint="eastAsia" w:ascii="Times New Roman" w:hAns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该技术体系和</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梨</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MNP标记数据</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为</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本</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标准的</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研制</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提供了技术支撑和大量数据基础</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，保障了标准制定的顺利完成</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w:t>
      </w:r>
    </w:p>
    <w:p w14:paraId="668FB63F">
      <w:pPr>
        <w:pStyle w:val="5"/>
        <w:spacing w:line="360" w:lineRule="auto"/>
        <w:ind w:firstLine="480"/>
        <w:rPr>
          <w:rFonts w:hint="eastAsia" w:ascii="Times New Roman" w:cs="Times New Roman" w:eastAsiaTheme="minorEastAsia"/>
          <w:bCs/>
          <w:snapToGrid w:val="0"/>
          <w:color w:val="000000" w:themeColor="text1"/>
          <w:kern w:val="0"/>
          <w:sz w:val="24"/>
          <w:lang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1.</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技术确定</w:t>
      </w:r>
    </w:p>
    <w:p w14:paraId="66E45D74">
      <w:pPr>
        <w:pStyle w:val="5"/>
        <w:spacing w:line="360" w:lineRule="auto"/>
        <w:ind w:firstLine="480"/>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202</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年</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月</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-2023年8月</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成立了由</w:t>
      </w:r>
      <w:r>
        <w:rPr>
          <w:rFonts w:hint="eastAsia" w:ascii="Times New Roman" w:hAnsi="Times New Roman" w:cs="Times New Roman" w:eastAsiaTheme="minorEastAsia"/>
          <w:b w:val="0"/>
          <w:bCs w:val="0"/>
          <w:color w:val="000000" w:themeColor="text1"/>
          <w:sz w:val="24"/>
          <w:lang w:val="en-US" w:eastAsia="zh-CN"/>
          <w14:textFill>
            <w14:solidFill>
              <w14:schemeClr w14:val="tx1"/>
            </w14:solidFill>
          </w14:textFill>
        </w:rPr>
        <w:t>江汉大学、农业农村部科技发展中心、武汉明了生物技术有限公司、中国农业科学院果树研究所、湖北省农业科学院果树茶叶研究所</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组成的起草小组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起草小组制定了项目实施方案</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，开</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展了市场调研、文献查新、资料的收集整理、外部验证、数据分析与处理等工作。</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起草小组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利用所开发的技术体系，开展了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品种MNP标记分子鉴定，以及实验室比对和田间表型与分子数据相关性验证工作</w:t>
      </w:r>
      <w:r>
        <w:rPr>
          <w:rFonts w:hint="eastAsia" w:ascii="Times New Roman" w:hAns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确定了梨品种鉴定所采用的MNP标记位点、技术流程和判定阈值。</w:t>
      </w:r>
    </w:p>
    <w:p w14:paraId="008D388C">
      <w:pPr>
        <w:pStyle w:val="5"/>
        <w:spacing w:line="360" w:lineRule="auto"/>
        <w:ind w:firstLine="480"/>
        <w:rPr>
          <w:rFonts w:hint="default" w:ascii="Times New Roman" w:cs="Times New Roman" w:eastAsiaTheme="minorEastAsia"/>
          <w:snapToGrid w:val="0"/>
          <w:color w:val="000000" w:themeColor="text1"/>
          <w:kern w:val="0"/>
          <w:sz w:val="24"/>
          <w:lang w:val="en-US" w:eastAsia="zh-CN"/>
          <w14:textFill>
            <w14:solidFill>
              <w14:schemeClr w14:val="tx1"/>
            </w14:solidFill>
          </w14:textFill>
        </w:rPr>
      </w:pP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1.4技术验证</w:t>
      </w:r>
    </w:p>
    <w:p w14:paraId="7273B080">
      <w:pPr>
        <w:pStyle w:val="5"/>
        <w:spacing w:line="360" w:lineRule="auto"/>
        <w:ind w:firstLine="480"/>
        <w:rPr>
          <w:rFonts w:hint="default" w:ascii="Times New Roman" w:hAnsi="Times New Roman" w:cs="Times New Roman" w:eastAsiaTheme="minorEastAsia"/>
          <w:bCs/>
          <w:snapToGrid w:val="0"/>
          <w:color w:val="0000FF"/>
          <w:kern w:val="0"/>
          <w:sz w:val="24"/>
        </w:rPr>
      </w:pP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2023年8月委托</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石家庄博瑞迪生物技术有限公司、江苏徐淮地区徐州农业科学研究所、上海市农业科学院食用菌研究所、巴彦淖尔市农牧业科学研究所、中国农业科学院油料</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作物研究</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所</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、农业农村部植物新品种测试（昆明）分中心</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等6家单位，对标准的可操作性和检测数据的可重现性进行了验证。6家单位都采用了5个品种，对梨MNP标记进行了多重PCR扩增和二代高通量测序。经验证，《梨品种及其实质性派生品种鉴定 MNP标记法》标准中的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DNA提取方法、PCR扩增反应条件、扩增片段检测方法等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具备可操作性，按照标准中的方法，</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一次多重PCR扩增了标准规定</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的所有</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标记位点</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标记检出率均高于95%，</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分型</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准确性均大于99.65%，品种判定结论重现率为100%。</w:t>
      </w:r>
    </w:p>
    <w:p w14:paraId="243185FB">
      <w:pPr>
        <w:pStyle w:val="5"/>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bookmarkStart w:id="27" w:name="_GoBack"/>
      <w:bookmarkEnd w:id="27"/>
      <w:r>
        <w:rPr>
          <w:rFonts w:hint="default" w:ascii="Times New Roman" w:hAnsi="Times New Roman" w:eastAsia="黑体" w:cs="Times New Roman"/>
          <w:bCs/>
          <w:color w:val="000000" w:themeColor="text1"/>
          <w:kern w:val="44"/>
          <w:sz w:val="24"/>
          <w14:textFill>
            <w14:solidFill>
              <w14:schemeClr w14:val="tx1"/>
            </w14:solidFill>
          </w14:textFill>
        </w:rPr>
        <w:t>二、标准编制原则</w:t>
      </w:r>
      <w:r>
        <w:rPr>
          <w:rFonts w:hint="default" w:ascii="Times New Roman" w:hAnsi="Times New Roman" w:eastAsia="黑体" w:cs="Times New Roman"/>
          <w:bCs/>
          <w:color w:val="000000" w:themeColor="text1"/>
          <w:kern w:val="44"/>
          <w:sz w:val="24"/>
          <w:lang w:eastAsia="zh-CN"/>
          <w14:textFill>
            <w14:solidFill>
              <w14:schemeClr w14:val="tx1"/>
            </w14:solidFill>
          </w14:textFill>
        </w:rPr>
        <w:t>、</w:t>
      </w: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主要内容及其</w:t>
      </w:r>
      <w:r>
        <w:rPr>
          <w:rFonts w:hint="default" w:ascii="Times New Roman" w:hAnsi="Times New Roman" w:eastAsia="黑体" w:cs="Times New Roman"/>
          <w:bCs/>
          <w:color w:val="000000" w:themeColor="text1"/>
          <w:kern w:val="44"/>
          <w:sz w:val="24"/>
          <w14:textFill>
            <w14:solidFill>
              <w14:schemeClr w14:val="tx1"/>
            </w14:solidFill>
          </w14:textFill>
        </w:rPr>
        <w:t>确定</w:t>
      </w: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依据</w:t>
      </w:r>
    </w:p>
    <w:p w14:paraId="341547AC">
      <w:pPr>
        <w:pStyle w:val="5"/>
        <w:spacing w:line="360" w:lineRule="auto"/>
        <w:ind w:firstLine="482"/>
        <w:rPr>
          <w:rFonts w:hint="default" w:ascii="Times New Roman" w:hAnsi="Times New Roman" w:eastAsia="楷体" w:cs="Times New Roman"/>
          <w:b/>
          <w:bCs/>
          <w:color w:val="000000" w:themeColor="text1"/>
          <w:sz w:val="24"/>
          <w14:textFill>
            <w14:solidFill>
              <w14:schemeClr w14:val="tx1"/>
            </w14:solidFill>
          </w14:textFill>
        </w:rPr>
      </w:pPr>
      <w:r>
        <w:rPr>
          <w:rFonts w:hint="default" w:ascii="Times New Roman" w:hAnsi="Times New Roman" w:eastAsia="楷体" w:cs="Times New Roman"/>
          <w:b/>
          <w:bCs/>
          <w:color w:val="000000" w:themeColor="text1"/>
          <w:sz w:val="24"/>
          <w14:textFill>
            <w14:solidFill>
              <w14:schemeClr w14:val="tx1"/>
            </w14:solidFill>
          </w14:textFill>
        </w:rPr>
        <w:t>（一）</w:t>
      </w:r>
      <w:r>
        <w:rPr>
          <w:rFonts w:hint="default" w:ascii="Times New Roman" w:hAnsi="Times New Roman" w:eastAsia="楷体" w:cs="Times New Roman"/>
          <w:b/>
          <w:bCs/>
          <w:color w:val="000000" w:themeColor="text1"/>
          <w:sz w:val="24"/>
          <w:lang w:val="en-US" w:eastAsia="zh-CN"/>
          <w14:textFill>
            <w14:solidFill>
              <w14:schemeClr w14:val="tx1"/>
            </w14:solidFill>
          </w14:textFill>
        </w:rPr>
        <w:t>标准</w:t>
      </w:r>
      <w:r>
        <w:rPr>
          <w:rFonts w:hint="default" w:ascii="Times New Roman" w:hAnsi="Times New Roman" w:eastAsia="楷体" w:cs="Times New Roman"/>
          <w:b/>
          <w:bCs/>
          <w:color w:val="000000" w:themeColor="text1"/>
          <w:sz w:val="24"/>
          <w14:textFill>
            <w14:solidFill>
              <w14:schemeClr w14:val="tx1"/>
            </w14:solidFill>
          </w14:textFill>
        </w:rPr>
        <w:t>编制原则</w:t>
      </w:r>
    </w:p>
    <w:p w14:paraId="18BD1F29">
      <w:pPr>
        <w:pStyle w:val="5"/>
        <w:spacing w:line="360" w:lineRule="auto"/>
        <w:ind w:firstLine="480"/>
        <w:rPr>
          <w:rFonts w:hint="default" w:ascii="Times New Roman" w:hAnsi="Times New Roman" w:eastAsia="楷体" w:cs="Times New Roman"/>
          <w:b/>
          <w:bCs/>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按照农业农村部制定的NY/T 2594《植物品种鉴定 DNA分子标记法 总则》标准编写要求，采用以下原则编写《</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梨</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品种及其实质性派生品种鉴定 MNP标记法》：</w:t>
      </w:r>
    </w:p>
    <w:p w14:paraId="49B98AC1">
      <w:pPr>
        <w:spacing w:line="360" w:lineRule="auto"/>
        <w:ind w:firstLine="480" w:firstLineChars="200"/>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规范性原则：本标准的制定要求符合法律法规，</w:t>
      </w:r>
      <w:r>
        <w:rPr>
          <w:rFonts w:hint="eastAsia" w:ascii="Times New Roman" w:hAnsi="Times New Roman" w:cs="Times New Roman" w:eastAsiaTheme="minorEastAsia"/>
          <w:b w:val="0"/>
          <w:bCs/>
          <w:snapToGrid w:val="0"/>
          <w:color w:val="000000" w:themeColor="text1"/>
          <w:kern w:val="0"/>
          <w:sz w:val="24"/>
          <w:lang w:val="en-US" w:eastAsia="zh-CN"/>
          <w14:textFill>
            <w14:solidFill>
              <w14:schemeClr w14:val="tx1"/>
            </w14:solidFill>
          </w14:textFill>
        </w:rPr>
        <w:t>符合有关标准要求，包括</w:t>
      </w:r>
      <w:r>
        <w:rPr>
          <w:rFonts w:ascii="Times New Roman" w:hAnsi="Times New Roman" w:eastAsia="宋体" w:cs="Times New Roman"/>
          <w:snapToGrid w:val="0"/>
          <w:color w:val="000000"/>
          <w:kern w:val="0"/>
          <w:sz w:val="24"/>
          <w:szCs w:val="24"/>
        </w:rPr>
        <w:t>GB/T 1.1-2020《标准化工作导则 第1部分：标准化文件的结构和起草规则》、GB/T 3543.2《农作物种子检验规程 扦样》、GB/T 6682《分析实验室用水规格和试验方法》</w:t>
      </w:r>
      <w:r>
        <w:rPr>
          <w:rFonts w:hint="eastAsia" w:ascii="Times New Roman" w:hAnsi="Times New Roman" w:eastAsia="宋体" w:cs="Times New Roman"/>
          <w:snapToGrid w:val="0"/>
          <w:color w:val="000000"/>
          <w:kern w:val="0"/>
          <w:sz w:val="24"/>
          <w:szCs w:val="24"/>
          <w:lang w:eastAsia="zh-CN"/>
        </w:rPr>
        <w:t>、</w:t>
      </w: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 xml:space="preserve">GB/T 38551 </w:t>
      </w:r>
      <w:r>
        <w:rPr>
          <w:rFonts w:hint="eastAsia" w:ascii="Times New Roman" w:hAnsi="Times New Roman" w:cs="Times New Roman"/>
          <w:b w:val="0"/>
          <w:bCs/>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植物品种鉴定 MNP标记法</w:t>
      </w:r>
      <w:r>
        <w:rPr>
          <w:rFonts w:hint="eastAsia" w:ascii="Times New Roman" w:hAnsi="Times New Roman" w:cs="Times New Roman"/>
          <w:b w:val="0"/>
          <w:bCs/>
          <w:snapToGrid w:val="0"/>
          <w:color w:val="000000" w:themeColor="text1"/>
          <w:kern w:val="0"/>
          <w:sz w:val="24"/>
          <w:lang w:eastAsia="zh-CN"/>
          <w14:textFill>
            <w14:solidFill>
              <w14:schemeClr w14:val="tx1"/>
            </w14:solidFill>
          </w14:textFill>
        </w:rPr>
        <w:t>》。</w:t>
      </w:r>
    </w:p>
    <w:p w14:paraId="144F9A4A">
      <w:pPr>
        <w:pStyle w:val="5"/>
        <w:spacing w:line="360" w:lineRule="auto"/>
        <w:ind w:firstLine="482"/>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适用性原则：本标准要求尽量适用于历史、当前和未来的</w:t>
      </w:r>
      <w:r>
        <w:rPr>
          <w:rFonts w:hint="eastAsia" w:ascii="Times New Roman" w:cs="Times New Roman" w:eastAsiaTheme="minorEastAsia"/>
          <w:b w:val="0"/>
          <w:bCs/>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 xml:space="preserve">品种鉴定，以及常规品种的实质性派生品种鉴定；要求对操作人员主观判定经验要求少，适用于所有种业检验机构和种业企业。 </w:t>
      </w:r>
    </w:p>
    <w:p w14:paraId="77C89850">
      <w:pPr>
        <w:pStyle w:val="5"/>
        <w:spacing w:line="360" w:lineRule="auto"/>
        <w:ind w:firstLine="482"/>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统一性原则：本标准要求与现行相关标准协调统一，不发生冲突。本标准实质性派生品种鉴定指标与品种鉴定要求保持了统一性，有助于标准使用者理解。</w:t>
      </w:r>
    </w:p>
    <w:p w14:paraId="3CF3DF0B">
      <w:pPr>
        <w:pStyle w:val="5"/>
        <w:spacing w:line="360" w:lineRule="auto"/>
        <w:ind w:firstLine="482"/>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val="0"/>
          <w:bCs/>
          <w:snapToGrid w:val="0"/>
          <w:color w:val="000000" w:themeColor="text1"/>
          <w:kern w:val="0"/>
          <w:sz w:val="24"/>
          <w14:textFill>
            <w14:solidFill>
              <w14:schemeClr w14:val="tx1"/>
            </w14:solidFill>
          </w14:textFill>
        </w:rPr>
        <w:t>先进性原则：本标准采用MNP标记法，经过多位院士和专家鉴定评价，认为该技术填补了国内外实</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用精准高效植物品种DNA鉴定技术空白，整体达到国际领先水平；本标准采用多重PCR结合高通量测序技术，单个PCR反应同时扩增</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MNP标记，扩增效率高；本标准采用高通量测序技术和计算机软件分析技术，单次可自动检测和分析数百个以上的品种和十万个以上的标记，检测和分析的效率高，自动化水平高；每个标记位点的测序数据量平均覆盖达到500条序列以上，每条序列精确到单个碱基</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，检测结果准确率达99.</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80</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%以上</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；检测过程不需要标准样品实物和参照品种实物进行平行实验，检测结果在不同实验室间高度一致，实现了DNA指纹在实验室间的共建、共享和共用。</w:t>
      </w:r>
    </w:p>
    <w:p w14:paraId="2A7E7C88">
      <w:pPr>
        <w:pStyle w:val="5"/>
        <w:spacing w:line="360" w:lineRule="auto"/>
        <w:ind w:firstLine="482"/>
        <w:rPr>
          <w:rFonts w:hint="default" w:ascii="Times New Roman" w:hAnsi="Times New Roman" w:eastAsia="楷体" w:cs="Times New Roman"/>
          <w:b/>
          <w:bCs/>
          <w:color w:val="000000" w:themeColor="text1"/>
          <w:sz w:val="24"/>
          <w14:textFill>
            <w14:solidFill>
              <w14:schemeClr w14:val="tx1"/>
            </w14:solidFill>
          </w14:textFill>
        </w:rPr>
      </w:pPr>
      <w:r>
        <w:rPr>
          <w:rFonts w:hint="default" w:ascii="Times New Roman" w:hAnsi="Times New Roman" w:eastAsia="楷体" w:cs="Times New Roman"/>
          <w:b/>
          <w:bCs/>
          <w:color w:val="000000" w:themeColor="text1"/>
          <w:sz w:val="24"/>
          <w14:textFill>
            <w14:solidFill>
              <w14:schemeClr w14:val="tx1"/>
            </w14:solidFill>
          </w14:textFill>
        </w:rPr>
        <w:t>（二）</w:t>
      </w:r>
      <w:bookmarkStart w:id="3" w:name="_Hlk143677136"/>
      <w:r>
        <w:rPr>
          <w:rFonts w:hint="default" w:ascii="Times New Roman" w:hAnsi="Times New Roman" w:eastAsia="楷体" w:cs="Times New Roman"/>
          <w:b/>
          <w:bCs/>
          <w:color w:val="000000" w:themeColor="text1"/>
          <w:sz w:val="24"/>
          <w:lang w:val="en-US" w:eastAsia="zh-CN"/>
          <w14:textFill>
            <w14:solidFill>
              <w14:schemeClr w14:val="tx1"/>
            </w14:solidFill>
          </w14:textFill>
        </w:rPr>
        <w:t>标准</w:t>
      </w:r>
      <w:bookmarkEnd w:id="3"/>
      <w:r>
        <w:rPr>
          <w:rFonts w:hint="default" w:ascii="Times New Roman" w:hAnsi="Times New Roman" w:eastAsia="楷体" w:cs="Times New Roman"/>
          <w:b/>
          <w:bCs/>
          <w:color w:val="000000" w:themeColor="text1"/>
          <w:sz w:val="24"/>
          <w:lang w:val="en-US" w:eastAsia="zh-CN"/>
          <w14:textFill>
            <w14:solidFill>
              <w14:schemeClr w14:val="tx1"/>
            </w14:solidFill>
          </w14:textFill>
        </w:rPr>
        <w:t>主要内容及其</w:t>
      </w:r>
      <w:r>
        <w:rPr>
          <w:rFonts w:hint="default" w:ascii="Times New Roman" w:hAnsi="Times New Roman" w:eastAsia="楷体" w:cs="Times New Roman"/>
          <w:b/>
          <w:bCs/>
          <w:color w:val="000000" w:themeColor="text1"/>
          <w:sz w:val="24"/>
          <w14:textFill>
            <w14:solidFill>
              <w14:schemeClr w14:val="tx1"/>
            </w14:solidFill>
          </w14:textFill>
        </w:rPr>
        <w:t>确定</w:t>
      </w:r>
      <w:r>
        <w:rPr>
          <w:rFonts w:hint="default" w:ascii="Times New Roman" w:hAnsi="Times New Roman" w:eastAsia="楷体" w:cs="Times New Roman"/>
          <w:b/>
          <w:bCs/>
          <w:color w:val="000000" w:themeColor="text1"/>
          <w:sz w:val="24"/>
          <w:lang w:val="en-US" w:eastAsia="zh-CN"/>
          <w14:textFill>
            <w14:solidFill>
              <w14:schemeClr w14:val="tx1"/>
            </w14:solidFill>
          </w14:textFill>
        </w:rPr>
        <w:t>依据</w:t>
      </w:r>
    </w:p>
    <w:p w14:paraId="4A67DB93">
      <w:pPr>
        <w:pStyle w:val="5"/>
        <w:spacing w:line="360" w:lineRule="auto"/>
        <w:ind w:left="482" w:firstLine="0" w:firstLineChars="0"/>
        <w:rPr>
          <w:rFonts w:hint="default" w:ascii="Times New Roman" w:hAnsi="Times New Roman" w:cs="Times New Roman" w:eastAsiaTheme="minorEastAsia"/>
          <w:b/>
          <w:color w:val="000000" w:themeColor="text1"/>
          <w:sz w:val="24"/>
          <w14:textFill>
            <w14:solidFill>
              <w14:schemeClr w14:val="tx1"/>
            </w14:solidFill>
          </w14:textFill>
        </w:rPr>
      </w:pPr>
      <w:bookmarkStart w:id="4" w:name="_Hlk141086599"/>
      <w:r>
        <w:rPr>
          <w:rFonts w:hint="eastAsia" w:ascii="Times New Roman" w:hAnsi="Times New Roman" w:cs="Times New Roman" w:eastAsiaTheme="minorEastAsia"/>
          <w:b/>
          <w:color w:val="000000" w:themeColor="text1"/>
          <w:sz w:val="24"/>
          <w:lang w:val="en-US" w:eastAsia="zh-CN"/>
          <w14:textFill>
            <w14:solidFill>
              <w14:schemeClr w14:val="tx1"/>
            </w14:solidFill>
          </w14:textFill>
        </w:rPr>
        <w:t>1</w:t>
      </w:r>
      <w:r>
        <w:rPr>
          <w:rFonts w:hint="default" w:ascii="Times New Roman" w:hAnsi="Times New Roman" w:cs="Times New Roman" w:eastAsiaTheme="minorEastAsia"/>
          <w:b/>
          <w:color w:val="000000" w:themeColor="text1"/>
          <w:sz w:val="24"/>
          <w14:textFill>
            <w14:solidFill>
              <w14:schemeClr w14:val="tx1"/>
            </w14:solidFill>
          </w14:textFill>
        </w:rPr>
        <w:t xml:space="preserve">. </w:t>
      </w:r>
      <w:r>
        <w:rPr>
          <w:rFonts w:hint="eastAsia" w:ascii="Times New Roman" w:cs="Times New Roman" w:eastAsiaTheme="minorEastAsia"/>
          <w:b/>
          <w:color w:val="000000" w:themeColor="text1"/>
          <w:sz w:val="24"/>
          <w:lang w:eastAsia="zh-CN"/>
          <w14:textFill>
            <w14:solidFill>
              <w14:schemeClr w14:val="tx1"/>
            </w14:solidFill>
          </w14:textFill>
        </w:rPr>
        <w:t>梨</w:t>
      </w:r>
      <w:r>
        <w:rPr>
          <w:rFonts w:hint="default" w:ascii="Times New Roman" w:hAnsi="Times New Roman" w:cs="Times New Roman" w:eastAsiaTheme="minorEastAsia"/>
          <w:b/>
          <w:color w:val="000000" w:themeColor="text1"/>
          <w:sz w:val="24"/>
          <w14:textFill>
            <w14:solidFill>
              <w14:schemeClr w14:val="tx1"/>
            </w14:solidFill>
          </w14:textFill>
        </w:rPr>
        <w:t>MNP标记位点的筛选</w:t>
      </w:r>
      <w:bookmarkEnd w:id="4"/>
    </w:p>
    <w:p w14:paraId="7521F24C">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中MNP标记是指在一段核苷酸序列中，由一个或多个核苷酸变异引起的序列多态性。除单核苷酸变为多核苷酸外，该定义的其它描述仿照SNP标记的定义进行，以保持标记发展与变革的连续性。实质性派生品种鉴定中需要定量计算遗传相似度，需要采用较多的标记位点以便准确计算遗传相似度。</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通过</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高通量测序和生物信息学软件，实现了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MNP</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标记位点的高通量开发，极大增强了标记开发效率，更加适合制定实质性派生品种鉴定标准。</w:t>
      </w:r>
    </w:p>
    <w:p w14:paraId="035001DF">
      <w:pPr>
        <w:pStyle w:val="5"/>
        <w:spacing w:line="360" w:lineRule="auto"/>
        <w:ind w:firstLine="480"/>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我们</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采用了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143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份</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梨品种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的基因组测序数据开发</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MNP标记，</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其中113份数据来源于NCBI，包含</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全世界收集的野生和栽培种全基因组重测序数据（NCBI数据下载号ref:PRJNA381668）；另外30份梨品种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的基因组测序数据</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为编制单位采集，品种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来源于</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中国农业科学院果树研究所和梨品种育种企业，包含新品种、日本砂梨、白梨、新疆梨、白梨、秋子梨、西洋梨等梨品种。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 xml:space="preserve"> </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对这30份梨品种进行了简化基因组测序，</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且重测序深度设置为20倍，以保证获取较高质量的基因组测序数据</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基于这143份</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基因组测序数据，采用Samtools（Version 1.2）和BCFtools（Version 1.2）获取</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全基因组上的SNP 位点；基于全部SNP位点，以125 bp为窗口大小，5 bp为步长在</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参考基因组（GCA_000315295.1）上移动，筛选候选MNP标记，并对这些标记设计引物。每个候选标记和扩增引物应同时满足以下原则：（1）每个MNP标记中含有的SNP数量≥1个；（2）标记的样本区分力DP≥0.2且尽可能最大，DP=d/t，其中t是</w:t>
      </w: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指</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在该区域所有样品两两比较时可进行比较的样品对数，d是具有至少1个SNP差异的样品对数；（3）候选MNP标记在基因组上均匀分布；（4）标记引物能够且仅能够在</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中扩增；（5）扩增产物长度在150bp - 275bp之间；（6）确保不同标记引物在同一个反应中不会产生竞争性扩增，以便在单个反应中能够同时扩增所有标记位点。</w:t>
      </w:r>
    </w:p>
    <w:p w14:paraId="7B58C7CB">
      <w:pPr>
        <w:pStyle w:val="5"/>
        <w:spacing w:line="360" w:lineRule="auto"/>
        <w:ind w:firstLine="480"/>
        <w:rPr>
          <w:rFonts w:hint="default" w:ascii="Times New Roman" w:hAnsi="Times New Roman" w:cs="Times New Roman" w:eastAsiaTheme="minorEastAsia"/>
          <w:snapToGrid w:val="0"/>
          <w:color w:val="000000" w:themeColor="text1"/>
          <w:sz w:val="24"/>
          <w:szCs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最终，共设计并合成了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558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对超多重扩增引物；实测了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品种，根据实测数据分析结果，放弃了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248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个在检出率、非特异性扩增、标记分型重现性等指标上可能存在问题的引物和标记位点；最终保留</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MNP标记及其超多重扩增</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引物。</w:t>
      </w:r>
    </w:p>
    <w:p w14:paraId="06FCB0E7">
      <w:pPr>
        <w:pStyle w:val="5"/>
        <w:spacing w:line="360" w:lineRule="auto"/>
        <w:ind w:firstLineChars="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2</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.关于标记数量对品种鉴定准确性的影响</w:t>
      </w:r>
    </w:p>
    <w:p w14:paraId="6F4EA276">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从SSR标记法，到SNP标记法和MNP标记法的分子标记品种鉴定标准中，标准所采用的标记数量一直在提升，其主要目的是通过采用更多的标记数量，降低标记在基因组上抽样误差对鉴定结论准确性的影响。《最高人民法院关于审理侵害植物新品种权纠纷案件具体应用法律问题的若干规定（二）》规定在品种DNA鉴定中可以扩大检测位点进行加测，也是希望通过更多的标记数量，提升品种鉴定准确性。下面举两个实例定量说明标记数量与标记抽样误差对鉴定结论准确性的影响。</w:t>
      </w:r>
    </w:p>
    <w:p w14:paraId="48346D26">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中国农业科学院果树研究所和梨品种育种企业</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提供的样品中</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编号为“SL240730040”和编号为</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“SL240730078”</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的两个品种，品种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间遗传相似系数检测结果为</w:t>
      </w:r>
      <w:bookmarkStart w:id="5" w:name="_Hlk143677614"/>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95.19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bookmarkEnd w:id="5"/>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，由于其</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大于</w:t>
      </w:r>
      <w:r>
        <w:rPr>
          <w:rFonts w:hint="default" w:ascii="Times New Roman" w:cs="Times New Roman" w:eastAsiaTheme="minorEastAsia"/>
          <w:snapToGrid w:val="0"/>
          <w:color w:val="000000" w:themeColor="text1"/>
          <w:kern w:val="0"/>
          <w:sz w:val="24"/>
          <w:lang w:val="en-US" w:eastAsia="zh-CN"/>
          <w14:textFill>
            <w14:solidFill>
              <w14:schemeClr w14:val="tx1"/>
            </w14:solidFill>
          </w14:textFill>
        </w:rPr>
        <w:t>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cs="Times New Roman" w:eastAsiaTheme="minorEastAsia"/>
          <w:snapToGrid w:val="0"/>
          <w:color w:val="000000" w:themeColor="text1"/>
          <w:kern w:val="0"/>
          <w:sz w:val="24"/>
          <w:lang w:val="en-US" w:eastAsia="zh-CN"/>
          <w14:textFill>
            <w14:solidFill>
              <w14:schemeClr w14:val="tx1"/>
            </w14:solidFill>
          </w14:textFill>
        </w:rPr>
        <w:t>%的判定阈值，因此，判定结论应为“待测品种与对照品种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为疑似</w:t>
      </w:r>
      <w:r>
        <w:rPr>
          <w:rFonts w:hint="eastAsia" w:ascii="Times New Roman" w:cs="Times New Roman" w:eastAsiaTheme="minorEastAsia"/>
          <w:snapToGrid w:val="0"/>
          <w:color w:val="000000" w:themeColor="text1"/>
          <w:kern w:val="0"/>
          <w:sz w:val="24"/>
          <w:lang w:val="pt-BR" w:eastAsia="zh-CN"/>
          <w14:textFill>
            <w14:solidFill>
              <w14:schemeClr w14:val="tx1"/>
            </w14:solidFill>
          </w14:textFill>
        </w:rPr>
        <w:t>实质性派生</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品种</w:t>
      </w:r>
      <w:r>
        <w:rPr>
          <w:rFonts w:hint="default" w:ascii="Times New Roman" w:cs="Times New Roman" w:eastAsiaTheme="minorEastAsia"/>
          <w:snapToGrid w:val="0"/>
          <w:color w:val="000000" w:themeColor="text1"/>
          <w:kern w:val="0"/>
          <w:sz w:val="24"/>
          <w:lang w:val="en-US" w:eastAsia="zh-CN"/>
          <w14:textFill>
            <w14:solidFill>
              <w14:schemeClr w14:val="tx1"/>
            </w14:solidFill>
          </w14:textFill>
        </w:rPr>
        <w:t>”。假设标准采</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用的标记数量为</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N</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个，那么，仅当从基因组上抽取的 </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N</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个标记位点中，有大于或等于</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N×9</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0</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个标记位点在待测品种和对照品种中相同时，才不会因为标记位点抽样误差导致判定结论错误，其概率</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nary>
          <m:naryPr>
            <m:chr m:val="∑"/>
            <m:limLoc m:val="undOv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naryPr>
          <m:sub>
            <m:r>
              <m:rPr/>
              <w:rPr>
                <w:rFonts w:hint="default" w:ascii="Cambria Math" w:hAnsi="Cambria Math" w:cs="Times New Roman" w:eastAsiaTheme="minorEastAsia"/>
                <w:snapToGrid w:val="0"/>
                <w:color w:val="000000" w:themeColor="text1"/>
                <w:kern w:val="0"/>
                <w:sz w:val="24"/>
                <w14:textFill>
                  <w14:solidFill>
                    <w14:schemeClr w14:val="tx1"/>
                  </w14:solidFill>
                </w14:textFill>
              </w:rPr>
              <m:t>i=N×</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90</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b>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N</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e>
            <m:sSubSup>
              <m:sSub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b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C</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4"/>
                    <w14:textFill>
                      <w14:solidFill>
                        <w14:schemeClr w14:val="tx1"/>
                      </w14:solidFill>
                    </w14:textFill>
                  </w:rPr>
                  <m:t>N</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b>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bSup>
            <m:sSup>
              <m:s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m:sty m:val="p"/>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95.19</m:t>
                </m:r>
                <m:r>
                  <m:rPr>
                    <m:sty m:val="p"/>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p>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sSup>
              <m:s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(1−</m:t>
                </m:r>
                <m:r>
                  <m:rPr>
                    <m:sty m:val="p"/>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95.19</m:t>
                </m:r>
                <m:r>
                  <m:rPr>
                    <m:sty m:val="p"/>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(N−i)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p>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nary>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4E728B31">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drawing>
          <wp:inline distT="0" distB="0" distL="114300" distR="114300">
            <wp:extent cx="4669790" cy="2224405"/>
            <wp:effectExtent l="4445" t="4445" r="12065" b="635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BD6916">
      <w:pPr>
        <w:pStyle w:val="5"/>
        <w:spacing w:line="360" w:lineRule="auto"/>
        <w:ind w:firstLine="48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图2 不同标记数量下实质性派生品种鉴定结论正确的概率</w:t>
      </w:r>
    </w:p>
    <w:p w14:paraId="3F95D836">
      <w:pPr>
        <w:pStyle w:val="5"/>
        <w:spacing w:line="360" w:lineRule="auto"/>
        <w:ind w:firstLine="480"/>
        <w:jc w:val="left"/>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注：（1）实质性派生品种的遗传相似系数判定阈值为9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%；（2）待测品种与对照品种的遗传相似系数为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95.19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 </w:t>
      </w:r>
    </w:p>
    <w:p w14:paraId="50787284">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根据上述概率方程获得图2。从图2可以看出，当标记数量达到</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250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个及以上时，本实例中正确判定实质性派生品种的概率就接近100%了。本标准采用的标记数量</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N=</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310</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个，其在本实例中不会因为标记位点抽样误差导致实质性派生品种鉴定结论错误的概率为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99.99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%。需要特别说明的是，图2只针对本实例，随着实质性派生品种判定阈值的不同，以及待测品种与对照品种遗传相似系数的不同，该图表现可能差异较大。</w:t>
      </w:r>
    </w:p>
    <w:p w14:paraId="5C413C0B">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下面举例定量说明标记数量与标记抽样误差对品种鉴定结论准确性的影响。</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中国农业科学院果树研究所和梨品种育种企业提供的样品中</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编号为“SL240730068”和编号为</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“SL240730011”</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的两个品种，品种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间遗传相似系数检测结果为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98.71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%，由于该遗传相似度大于96%，品种鉴定的判定结论为“待测品种与对照品种为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疑同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品种”。按与上述实质性派生品种鉴定类似的推理可以获得图3。</w:t>
      </w:r>
    </w:p>
    <w:p w14:paraId="51DEEE5C">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drawing>
          <wp:inline distT="0" distB="0" distL="114300" distR="114300">
            <wp:extent cx="4572000" cy="2569210"/>
            <wp:effectExtent l="4445" t="4445" r="8255" b="171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CE02C2">
      <w:pPr>
        <w:pStyle w:val="5"/>
        <w:spacing w:line="360" w:lineRule="auto"/>
        <w:ind w:firstLine="48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图3 不同标记数量下品种鉴定结论正确的概率</w:t>
      </w:r>
    </w:p>
    <w:p w14:paraId="4588628D">
      <w:pPr>
        <w:pStyle w:val="5"/>
        <w:spacing w:line="360" w:lineRule="auto"/>
        <w:ind w:firstLine="480"/>
        <w:jc w:val="left"/>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注：（1）品种鉴定判定阈值为96%；（2）待测品种与对照品种的遗传相似系数为9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 </w:t>
      </w:r>
    </w:p>
    <w:p w14:paraId="3C7D080A">
      <w:pPr>
        <w:pStyle w:val="5"/>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从图3可以看出，由于品种鉴定判定阈值与品种间遗传相似系数较为接近，只有当标准中使用的标记数量达到</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300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个及以上时，在本实例中品种鉴定的判定结论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大于99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%。按本标准中采用的</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个标记进行检测，在本实例中不会因为标记位点抽样误差导致判定品种鉴定结论错误的概率为99.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%。需要特别说明的是，图3只针对本实例实用，随着品种鉴定判定阈值的不同，以及待测品种与对照品种遗传相似系数的不同，该图可能出现完全不同的表现。</w:t>
      </w:r>
    </w:p>
    <w:p w14:paraId="04027143">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关于样本抽样量</w:t>
      </w:r>
    </w:p>
    <w:p w14:paraId="73C1C850">
      <w:pPr>
        <w:pStyle w:val="5"/>
        <w:numPr>
          <w:ilvl w:val="255"/>
          <w:numId w:val="0"/>
        </w:numPr>
        <w:spacing w:line="360" w:lineRule="auto"/>
        <w:ind w:firstLine="480"/>
        <w:rPr>
          <w:rFonts w:hint="eastAsia" w:ascii="Times New Roman" w:hAnsi="Times New Roman" w:cs="Times New Roman" w:eastAsiaTheme="minorEastAsia"/>
          <w:snapToGrid w:val="0"/>
          <w:color w:val="000000" w:themeColor="text1"/>
          <w:kern w:val="0"/>
          <w:sz w:val="24"/>
          <w:lang w:eastAsia="zh-CN"/>
          <w14:textFill>
            <w14:solidFill>
              <w14:schemeClr w14:val="tx1"/>
            </w14:solidFill>
          </w14:textFill>
        </w:rPr>
      </w:pP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通常采用嫁接繁殖的方式繁殖，单株间的遗传差异可忽略，因此样本的抽样量对鉴定结果影响不大。</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本标准具体规定了抽样样本数量宜大于30，主要理由如下：（1）统计学上，30个个体为大样本；（2）现有植物品种DNA鉴定标准抽样量大多为30</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个</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左右；（</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）MNP标记法采用混合样本检测，多抽取一些样本对检测工作量影响不大；（</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30个样本中的杂株基因型要被误判为真实基因型，杂株基因型测序片段的比例需要超过50%；假定杂株率为5%，由于MNP标记法PCR扩增产物处于线性增长期，因此，杂株基因型测序片段服从于实验次数为测序深度，发生率为5%的二项分布；根据二项分布模型计算，杂株基因型测序片段的比例超过20%的概率，即被误判为品种中真实等位基因型的概率为</w:t>
      </w:r>
      <m:oMath>
        <m:nary>
          <m:naryPr>
            <m:chr m:val="∑"/>
            <m:limLoc m:val="undOv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naryPr>
          <m:sub>
            <m:r>
              <m:rPr/>
              <w:rPr>
                <w:rFonts w:hint="default" w:ascii="Cambria Math" w:hAnsi="Cambria Math" w:cs="Times New Roman" w:eastAsiaTheme="minorEastAsia"/>
                <w:snapToGrid w:val="0"/>
                <w:color w:val="000000" w:themeColor="text1"/>
                <w:kern w:val="0"/>
                <w:sz w:val="24"/>
                <w14:textFill>
                  <w14:solidFill>
                    <w14:schemeClr w14:val="tx1"/>
                  </w14:solidFill>
                </w14:textFill>
              </w:rPr>
              <m:t>i=30×20%</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b>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30</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e>
            <m:sSubSup>
              <m:sSub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b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C</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4"/>
                    <w14:textFill>
                      <w14:solidFill>
                        <w14:schemeClr w14:val="tx1"/>
                      </w14:solidFill>
                    </w14:textFill>
                  </w:rPr>
                  <m:t>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b>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30</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bSup>
            <m:sSup>
              <m:s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(5%)</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p>
            <m:sSup>
              <m:sSup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Sup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(1−5%)</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sup>
                <m:r>
                  <m:rPr/>
                  <w:rPr>
                    <w:rFonts w:hint="default" w:ascii="Cambria Math" w:hAnsi="Cambria Math" w:cs="Times New Roman" w:eastAsiaTheme="minorEastAsia"/>
                    <w:snapToGrid w:val="0"/>
                    <w:color w:val="000000" w:themeColor="text1"/>
                    <w:kern w:val="0"/>
                    <w:sz w:val="24"/>
                    <w14:textFill>
                      <w14:solidFill>
                        <w14:schemeClr w14:val="tx1"/>
                      </w14:solidFill>
                    </w14:textFill>
                  </w:rPr>
                  <m:t>(30−i)</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sup>
            </m:sSup>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nary>
        <m:r>
          <m:rPr/>
          <w:rPr>
            <w:rFonts w:hint="default" w:ascii="Cambria Math" w:hAnsi="Cambria Math" w:cs="Times New Roman" w:eastAsiaTheme="minorEastAsia"/>
            <w:snapToGrid w:val="0"/>
            <w:color w:val="000000" w:themeColor="text1"/>
            <w:kern w:val="0"/>
            <w:sz w:val="24"/>
            <w14:textFill>
              <w14:solidFill>
                <w14:schemeClr w14:val="tx1"/>
              </w14:solidFill>
            </w14:textFill>
          </w:rPr>
          <m:t>=0.057%</m:t>
        </m:r>
      </m:oMath>
      <w:r>
        <w:rPr>
          <w:rFonts w:hint="eastAsia" w:hAnsi="Cambria Math" w:cs="Times New Roman" w:eastAsiaTheme="minorEastAsia"/>
          <w:i w:val="0"/>
          <w:snapToGrid w:val="0"/>
          <w:color w:val="000000" w:themeColor="text1"/>
          <w:kern w:val="0"/>
          <w:sz w:val="24"/>
          <w:lang w:eastAsia="zh-CN"/>
          <w14:textFill>
            <w14:solidFill>
              <w14:schemeClr w14:val="tx1"/>
            </w14:solidFill>
          </w14:textFill>
        </w:rPr>
        <w:t>。</w:t>
      </w:r>
    </w:p>
    <w:p w14:paraId="567D4D21">
      <w:pPr>
        <w:pStyle w:val="5"/>
        <w:spacing w:line="360" w:lineRule="auto"/>
        <w:ind w:firstLineChars="0"/>
        <w:rPr>
          <w:rFonts w:hint="default" w:ascii="Times New Roman" w:hAnsi="Times New Roman" w:cs="Times New Roman" w:eastAsiaTheme="minorEastAsia"/>
          <w:b/>
          <w:bCs/>
          <w:snapToGrid w:val="0"/>
          <w:color w:val="000000" w:themeColor="text1"/>
          <w:kern w:val="0"/>
          <w:sz w:val="24"/>
          <w:highlight w:val="yellow"/>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4</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关于多重PCR扩增循环数</w:t>
      </w:r>
    </w:p>
    <w:p w14:paraId="0AB2866A">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本标准中规定多重PCR的扩增循环数建议不高于20个，其原因如下。（1）本标准采用测序对标记进行检测，理论上</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分子即可，其下限受限于不同测序平台对测序文库量和浓度的要求，不宜统一规定；（2）当高于20个循环时，较多标记位点进入了平台增长期（图4），杂株等位基因型可能会因为扩增偏好性被过度扩增，可能被误判为真实的等位基因型。</w:t>
      </w:r>
    </w:p>
    <w:p w14:paraId="2637B670">
      <w:pPr>
        <w:pStyle w:val="5"/>
        <w:spacing w:line="360" w:lineRule="auto"/>
        <w:ind w:firstLine="48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drawing>
          <wp:inline distT="0" distB="0" distL="114300" distR="114300">
            <wp:extent cx="3492500" cy="2216150"/>
            <wp:effectExtent l="0" t="0" r="0" b="6350"/>
            <wp:docPr id="4" name="图片 3" descr="樱桃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樱桃用"/>
                    <pic:cNvPicPr>
                      <a:picLocks noChangeAspect="1"/>
                    </pic:cNvPicPr>
                  </pic:nvPicPr>
                  <pic:blipFill>
                    <a:blip r:embed="rId7"/>
                    <a:stretch>
                      <a:fillRect/>
                    </a:stretch>
                  </pic:blipFill>
                  <pic:spPr>
                    <a:xfrm>
                      <a:off x="0" y="0"/>
                      <a:ext cx="3492500" cy="2216150"/>
                    </a:xfrm>
                    <a:prstGeom prst="rect">
                      <a:avLst/>
                    </a:prstGeom>
                  </pic:spPr>
                </pic:pic>
              </a:graphicData>
            </a:graphic>
          </wp:inline>
        </w:drawing>
      </w:r>
    </w:p>
    <w:p w14:paraId="22A1176A">
      <w:pPr>
        <w:pStyle w:val="5"/>
        <w:spacing w:line="360" w:lineRule="auto"/>
        <w:ind w:firstLine="48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图4 不同标记位点的扩增曲线</w:t>
      </w:r>
    </w:p>
    <w:p w14:paraId="69ACBED7">
      <w:pPr>
        <w:pStyle w:val="5"/>
        <w:spacing w:line="360" w:lineRule="auto"/>
        <w:ind w:left="482" w:firstLine="0" w:firstLineChars="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5</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高通量测序平均覆盖倍数和测序数据量质量控制</w:t>
      </w:r>
    </w:p>
    <w:p w14:paraId="26F528CB">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覆盖倍数指比对到标记位点的测序片段的数量。本标准规定高通量测序的平均覆盖倍数设置为700倍以上，其理由如下。</w:t>
      </w:r>
    </w:p>
    <w:p w14:paraId="42960BEF">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（1）该覆盖倍数保障了测序数据量可以通过质量控制</w:t>
      </w:r>
    </w:p>
    <w:p w14:paraId="79186AFE">
      <w:pPr>
        <w:pStyle w:val="5"/>
        <w:spacing w:line="360" w:lineRule="auto"/>
        <w:ind w:firstLine="480"/>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pPr>
      <w:bookmarkStart w:id="6" w:name="_Hlk129686811"/>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按本标准检测了</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171</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个</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样品</w:t>
      </w:r>
      <w:bookmarkEnd w:id="6"/>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，它们的测序覆盖倍数均设置为700倍以上，其中共有</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165</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个最后获得的平均覆盖倍数都达到了质量控制中规定的500倍以上，其比例为</w:t>
      </w:r>
      <w:bookmarkStart w:id="7" w:name="_Hlk129686860"/>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96.49</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w:t>
      </w:r>
      <w:bookmarkEnd w:id="7"/>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（图5）。</w:t>
      </w:r>
    </w:p>
    <w:p w14:paraId="6F45C963">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drawing>
          <wp:inline distT="0" distB="0" distL="114300" distR="114300">
            <wp:extent cx="5111750" cy="3188970"/>
            <wp:effectExtent l="4445" t="4445" r="14605" b="698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098073">
      <w:pPr>
        <w:pStyle w:val="5"/>
        <w:spacing w:line="360" w:lineRule="auto"/>
        <w:ind w:left="600" w:hanging="480" w:hangingChars="20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图5 </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标记测序覆盖倍数</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和与标记位点的检出率。（注：横坐标为品种）</w:t>
      </w:r>
    </w:p>
    <w:p w14:paraId="44EE3ED0">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（2）该覆盖倍数在测序成本上可接受</w:t>
      </w:r>
    </w:p>
    <w:p w14:paraId="23C44C1D">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本标准共有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个位点，每个位点长度按300 bp计算，</w:t>
      </w:r>
      <w:r>
        <w:rPr>
          <w:rFonts w:hint="default" w:ascii="Times New Roman" w:hAnsi="Times New Roman" w:cs="Times New Roman"/>
          <w:color w:val="000000" w:themeColor="text1"/>
          <w:kern w:val="0"/>
          <w:sz w:val="24"/>
          <w14:textFill>
            <w14:solidFill>
              <w14:schemeClr w14:val="tx1"/>
            </w14:solidFill>
          </w14:textFill>
        </w:rPr>
        <w:t>700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倍的测序覆盖倍数需要0.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G的测序数据量；每个品种按重复检测2次计算，总共需要0.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 G的测序数据量；每个G的商业测序费用按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60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元计算，每个品种高通量测序检测需要费用共计</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元，是可以接受的。</w:t>
      </w:r>
    </w:p>
    <w:p w14:paraId="0131AA3F">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6</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关于质控参数R1的设置</w:t>
      </w:r>
    </w:p>
    <w:p w14:paraId="230E989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本标准中的R1指样品中检出标记位点的比例，标准规定R1大于或等于95%时，判定测序数据合格，其理由如下：</w:t>
      </w:r>
    </w:p>
    <w:p w14:paraId="69B0AD6D">
      <w:pPr>
        <w:pStyle w:val="5"/>
        <w:numPr>
          <w:ilvl w:val="255"/>
          <w:numId w:val="0"/>
        </w:numPr>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位点检出率对鉴定结论影响见表3。我们按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个位点中最大缺失率5%计算，缺失位点数目为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15.5</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个；缺失位点中，差异位点分布服从实验次数为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15.5</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且发生频率为（1-真实的遗传相似度）的二项分布；根据二项分布，计算获得在95%的概率保障下，缺失位点中的差异位点的最小值和最大值分别为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个和</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个，观察到的遗传相似度介于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97.89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98.23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%之间；最终推断出遗传相似度的最大偏差为0.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%，表明在R1大于或等于95%时，检出位点缺失率对鉴定结论的重现性影响不大。</w:t>
      </w:r>
    </w:p>
    <w:p w14:paraId="0C1C9C5F">
      <w:pPr>
        <w:pStyle w:val="5"/>
        <w:numPr>
          <w:ilvl w:val="255"/>
          <w:numId w:val="0"/>
        </w:numPr>
        <w:spacing w:line="360" w:lineRule="auto"/>
        <w:ind w:firstLine="480"/>
        <w:jc w:val="center"/>
        <w:rPr>
          <w:rFonts w:hint="eastAsia" w:ascii="黑体" w:hAnsi="黑体" w:eastAsia="黑体" w:cs="黑体"/>
          <w:snapToGrid w:val="0"/>
          <w:color w:val="000000" w:themeColor="text1"/>
          <w:kern w:val="0"/>
          <w:sz w:val="24"/>
          <w14:textFill>
            <w14:solidFill>
              <w14:schemeClr w14:val="tx1"/>
            </w14:solidFill>
          </w14:textFill>
        </w:rPr>
      </w:pPr>
      <w:r>
        <w:rPr>
          <w:rFonts w:hint="eastAsia" w:ascii="黑体" w:hAnsi="黑体" w:eastAsia="黑体" w:cs="黑体"/>
          <w:snapToGrid w:val="0"/>
          <w:color w:val="000000" w:themeColor="text1"/>
          <w:kern w:val="0"/>
          <w:sz w:val="24"/>
          <w14:textFill>
            <w14:solidFill>
              <w14:schemeClr w14:val="tx1"/>
            </w14:solidFill>
          </w14:textFill>
        </w:rPr>
        <w:t>表3位点检出率对鉴定结论稳定性影响</w:t>
      </w:r>
    </w:p>
    <w:tbl>
      <w:tblPr>
        <w:tblStyle w:val="12"/>
        <w:tblW w:w="5007" w:type="pct"/>
        <w:tblInd w:w="0" w:type="dxa"/>
        <w:tblLayout w:type="autofit"/>
        <w:tblCellMar>
          <w:top w:w="0" w:type="dxa"/>
          <w:left w:w="108" w:type="dxa"/>
          <w:bottom w:w="0" w:type="dxa"/>
          <w:right w:w="108" w:type="dxa"/>
        </w:tblCellMar>
      </w:tblPr>
      <w:tblGrid>
        <w:gridCol w:w="1241"/>
        <w:gridCol w:w="1613"/>
        <w:gridCol w:w="1866"/>
        <w:gridCol w:w="1171"/>
        <w:gridCol w:w="1200"/>
        <w:gridCol w:w="1443"/>
      </w:tblGrid>
      <w:tr w14:paraId="50B1C63C">
        <w:tblPrEx>
          <w:tblCellMar>
            <w:top w:w="0" w:type="dxa"/>
            <w:left w:w="108" w:type="dxa"/>
            <w:bottom w:w="0" w:type="dxa"/>
            <w:right w:w="108" w:type="dxa"/>
          </w:tblCellMar>
        </w:tblPrEx>
        <w:trPr>
          <w:trHeight w:val="468" w:hRule="atLeast"/>
        </w:trPr>
        <w:tc>
          <w:tcPr>
            <w:tcW w:w="7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722775">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检测位点总数</w:t>
            </w:r>
          </w:p>
        </w:tc>
        <w:tc>
          <w:tcPr>
            <w:tcW w:w="9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D9AE44">
            <w:pPr>
              <w:widowControl/>
              <w:jc w:val="center"/>
              <w:rPr>
                <w:rFonts w:hint="default" w:ascii="Times New Roman" w:hAnsi="Times New Roman" w:cs="Times New Roman"/>
                <w:color w:val="000000" w:themeColor="text1"/>
                <w:kern w:val="0"/>
                <w:sz w:val="21"/>
                <w:szCs w:val="21"/>
                <w14:textFill>
                  <w14:solidFill>
                    <w14:schemeClr w14:val="tx1"/>
                  </w14:solidFill>
                </w14:textFill>
              </w:rPr>
            </w:pPr>
            <w:bookmarkStart w:id="8" w:name="_Hlk102231471"/>
            <w:r>
              <w:rPr>
                <w:rFonts w:hint="default" w:ascii="Times New Roman" w:hAnsi="Times New Roman" w:cs="Times New Roman"/>
                <w:color w:val="000000" w:themeColor="text1"/>
                <w:kern w:val="0"/>
                <w:sz w:val="21"/>
                <w:szCs w:val="21"/>
                <w14:textFill>
                  <w14:solidFill>
                    <w14:schemeClr w14:val="tx1"/>
                  </w14:solidFill>
                </w14:textFill>
              </w:rPr>
              <w:t>真实的遗传</w:t>
            </w:r>
            <w:bookmarkEnd w:id="8"/>
            <w:r>
              <w:rPr>
                <w:rFonts w:hint="default" w:ascii="Times New Roman" w:hAnsi="Times New Roman" w:cs="Times New Roman"/>
                <w:color w:val="000000" w:themeColor="text1"/>
                <w:kern w:val="0"/>
                <w:sz w:val="21"/>
                <w:szCs w:val="21"/>
                <w14:textFill>
                  <w14:solidFill>
                    <w14:schemeClr w14:val="tx1"/>
                  </w14:solidFill>
                </w14:textFill>
              </w:rPr>
              <w:t>相似度（GS）</w:t>
            </w:r>
          </w:p>
        </w:tc>
        <w:tc>
          <w:tcPr>
            <w:tcW w:w="10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0A02F">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真实差异位点数（n</w:t>
            </w:r>
            <w:r>
              <w:rPr>
                <w:rFonts w:hint="default" w:ascii="Times New Roman" w:hAnsi="Times New Roman" w:cs="Times New Roman"/>
                <w:color w:val="000000" w:themeColor="text1"/>
                <w:kern w:val="0"/>
                <w:sz w:val="21"/>
                <w:szCs w:val="21"/>
                <w:vertAlign w:val="subscript"/>
                <w14:textFill>
                  <w14:solidFill>
                    <w14:schemeClr w14:val="tx1"/>
                  </w14:solidFill>
                </w14:textFill>
              </w:rPr>
              <w:t>ij</w:t>
            </w:r>
            <w:r>
              <w:rPr>
                <w:rFonts w:hint="default" w:ascii="Times New Roman" w:hAnsi="Times New Roman" w:cs="Times New Roman"/>
                <w:color w:val="000000" w:themeColor="text1"/>
                <w:kern w:val="0"/>
                <w:sz w:val="21"/>
                <w:szCs w:val="21"/>
                <w14:textFill>
                  <w14:solidFill>
                    <w14:schemeClr w14:val="tx1"/>
                  </w14:solidFill>
                </w14:textFill>
              </w:rPr>
              <w:t>）</w:t>
            </w:r>
          </w:p>
        </w:tc>
        <w:tc>
          <w:tcPr>
            <w:tcW w:w="6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94808">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缺失率</w:t>
            </w:r>
          </w:p>
        </w:tc>
        <w:tc>
          <w:tcPr>
            <w:tcW w:w="7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76340B">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检出位点数（N</w:t>
            </w:r>
            <w:r>
              <w:rPr>
                <w:rFonts w:hint="default" w:ascii="Times New Roman" w:hAnsi="Times New Roman" w:cs="Times New Roman"/>
                <w:color w:val="000000" w:themeColor="text1"/>
                <w:kern w:val="0"/>
                <w:sz w:val="21"/>
                <w:szCs w:val="21"/>
                <w:vertAlign w:val="subscript"/>
                <w14:textFill>
                  <w14:solidFill>
                    <w14:schemeClr w14:val="tx1"/>
                  </w14:solidFill>
                </w14:textFill>
              </w:rPr>
              <w:t>ij</w:t>
            </w:r>
            <w:r>
              <w:rPr>
                <w:rFonts w:hint="default" w:ascii="Times New Roman" w:hAnsi="Times New Roman" w:cs="Times New Roman"/>
                <w:color w:val="000000" w:themeColor="text1"/>
                <w:kern w:val="0"/>
                <w:sz w:val="21"/>
                <w:szCs w:val="21"/>
                <w14:textFill>
                  <w14:solidFill>
                    <w14:schemeClr w14:val="tx1"/>
                  </w14:solidFill>
                </w14:textFill>
              </w:rPr>
              <w:t>）</w:t>
            </w:r>
          </w:p>
        </w:tc>
        <w:tc>
          <w:tcPr>
            <w:tcW w:w="8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EA67F3">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缺失位点数</w:t>
            </w:r>
          </w:p>
        </w:tc>
      </w:tr>
      <w:tr w14:paraId="7C0484CD">
        <w:tblPrEx>
          <w:tblCellMar>
            <w:top w:w="0" w:type="dxa"/>
            <w:left w:w="108" w:type="dxa"/>
            <w:bottom w:w="0" w:type="dxa"/>
            <w:right w:w="108" w:type="dxa"/>
          </w:tblCellMar>
        </w:tblPrEx>
        <w:trPr>
          <w:trHeight w:val="312" w:hRule="atLeast"/>
        </w:trPr>
        <w:tc>
          <w:tcPr>
            <w:tcW w:w="727" w:type="pct"/>
            <w:vMerge w:val="continue"/>
            <w:tcBorders>
              <w:top w:val="single" w:color="auto" w:sz="4" w:space="0"/>
              <w:left w:val="single" w:color="auto" w:sz="4" w:space="0"/>
              <w:bottom w:val="single" w:color="auto" w:sz="4" w:space="0"/>
              <w:right w:val="single" w:color="auto" w:sz="4" w:space="0"/>
            </w:tcBorders>
            <w:vAlign w:val="center"/>
          </w:tcPr>
          <w:p w14:paraId="40C3CA82">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945" w:type="pct"/>
            <w:vMerge w:val="continue"/>
            <w:tcBorders>
              <w:top w:val="single" w:color="auto" w:sz="4" w:space="0"/>
              <w:left w:val="single" w:color="auto" w:sz="4" w:space="0"/>
              <w:bottom w:val="single" w:color="auto" w:sz="4" w:space="0"/>
              <w:right w:val="single" w:color="auto" w:sz="4" w:space="0"/>
            </w:tcBorders>
            <w:vAlign w:val="center"/>
          </w:tcPr>
          <w:p w14:paraId="557B43C7">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1093" w:type="pct"/>
            <w:vMerge w:val="continue"/>
            <w:tcBorders>
              <w:top w:val="single" w:color="auto" w:sz="4" w:space="0"/>
              <w:left w:val="single" w:color="auto" w:sz="4" w:space="0"/>
              <w:bottom w:val="single" w:color="auto" w:sz="4" w:space="0"/>
              <w:right w:val="single" w:color="auto" w:sz="4" w:space="0"/>
            </w:tcBorders>
            <w:vAlign w:val="center"/>
          </w:tcPr>
          <w:p w14:paraId="7200C2FB">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686" w:type="pct"/>
            <w:vMerge w:val="continue"/>
            <w:tcBorders>
              <w:top w:val="single" w:color="auto" w:sz="4" w:space="0"/>
              <w:left w:val="single" w:color="auto" w:sz="4" w:space="0"/>
              <w:bottom w:val="single" w:color="auto" w:sz="4" w:space="0"/>
              <w:right w:val="single" w:color="auto" w:sz="4" w:space="0"/>
            </w:tcBorders>
            <w:vAlign w:val="center"/>
          </w:tcPr>
          <w:p w14:paraId="2C2B6A4B">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703" w:type="pct"/>
            <w:vMerge w:val="continue"/>
            <w:tcBorders>
              <w:top w:val="single" w:color="auto" w:sz="4" w:space="0"/>
              <w:left w:val="single" w:color="auto" w:sz="4" w:space="0"/>
              <w:bottom w:val="single" w:color="auto" w:sz="4" w:space="0"/>
              <w:right w:val="single" w:color="auto" w:sz="4" w:space="0"/>
            </w:tcBorders>
            <w:vAlign w:val="center"/>
          </w:tcPr>
          <w:p w14:paraId="4D59710D">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844" w:type="pct"/>
            <w:vMerge w:val="continue"/>
            <w:tcBorders>
              <w:top w:val="single" w:color="auto" w:sz="4" w:space="0"/>
              <w:left w:val="single" w:color="auto" w:sz="4" w:space="0"/>
              <w:bottom w:val="single" w:color="auto" w:sz="4" w:space="0"/>
              <w:right w:val="single" w:color="auto" w:sz="4" w:space="0"/>
            </w:tcBorders>
            <w:vAlign w:val="center"/>
          </w:tcPr>
          <w:p w14:paraId="024A6082">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r>
      <w:tr w14:paraId="58794A20">
        <w:tblPrEx>
          <w:tblCellMar>
            <w:top w:w="0" w:type="dxa"/>
            <w:left w:w="108" w:type="dxa"/>
            <w:bottom w:w="0" w:type="dxa"/>
            <w:right w:w="108" w:type="dxa"/>
          </w:tblCellMar>
        </w:tblPrEx>
        <w:trPr>
          <w:trHeight w:val="285" w:hRule="atLeast"/>
        </w:trPr>
        <w:tc>
          <w:tcPr>
            <w:tcW w:w="727" w:type="pct"/>
            <w:tcBorders>
              <w:top w:val="nil"/>
              <w:left w:val="single" w:color="auto" w:sz="4" w:space="0"/>
              <w:bottom w:val="single" w:color="auto" w:sz="4" w:space="0"/>
              <w:right w:val="single" w:color="auto" w:sz="4" w:space="0"/>
            </w:tcBorders>
            <w:shd w:val="clear" w:color="auto" w:fill="auto"/>
            <w:vAlign w:val="center"/>
          </w:tcPr>
          <w:p w14:paraId="1B6DACC7">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310</w:t>
            </w:r>
          </w:p>
        </w:tc>
        <w:tc>
          <w:tcPr>
            <w:tcW w:w="945" w:type="pct"/>
            <w:tcBorders>
              <w:top w:val="nil"/>
              <w:left w:val="nil"/>
              <w:bottom w:val="single" w:color="auto" w:sz="4" w:space="0"/>
              <w:right w:val="single" w:color="auto" w:sz="4" w:space="0"/>
            </w:tcBorders>
            <w:shd w:val="clear" w:color="auto" w:fill="auto"/>
            <w:vAlign w:val="center"/>
          </w:tcPr>
          <w:p w14:paraId="18996620">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98</w:t>
            </w:r>
            <w:r>
              <w:rPr>
                <w:rFonts w:hint="default" w:ascii="Times New Roman" w:hAnsi="Times New Roman" w:cs="Times New Roman"/>
                <w:color w:val="000000" w:themeColor="text1"/>
                <w:sz w:val="21"/>
                <w:szCs w:val="21"/>
                <w14:textFill>
                  <w14:solidFill>
                    <w14:schemeClr w14:val="tx1"/>
                  </w14:solidFill>
                </w14:textFill>
              </w:rPr>
              <w:t>%</w:t>
            </w:r>
          </w:p>
        </w:tc>
        <w:tc>
          <w:tcPr>
            <w:tcW w:w="1093" w:type="pct"/>
            <w:tcBorders>
              <w:top w:val="nil"/>
              <w:left w:val="nil"/>
              <w:bottom w:val="single" w:color="auto" w:sz="4" w:space="0"/>
              <w:right w:val="single" w:color="auto" w:sz="4" w:space="0"/>
            </w:tcBorders>
            <w:shd w:val="clear" w:color="auto" w:fill="auto"/>
            <w:vAlign w:val="center"/>
          </w:tcPr>
          <w:p w14:paraId="00BCD7E8">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6.20</w:t>
            </w:r>
          </w:p>
        </w:tc>
        <w:tc>
          <w:tcPr>
            <w:tcW w:w="686" w:type="pct"/>
            <w:tcBorders>
              <w:top w:val="nil"/>
              <w:left w:val="nil"/>
              <w:bottom w:val="single" w:color="auto" w:sz="4" w:space="0"/>
              <w:right w:val="single" w:color="auto" w:sz="4" w:space="0"/>
            </w:tcBorders>
            <w:shd w:val="clear" w:color="auto" w:fill="auto"/>
            <w:vAlign w:val="center"/>
          </w:tcPr>
          <w:p w14:paraId="7310205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703" w:type="pct"/>
            <w:tcBorders>
              <w:top w:val="nil"/>
              <w:left w:val="nil"/>
              <w:bottom w:val="single" w:color="auto" w:sz="4" w:space="0"/>
              <w:right w:val="single" w:color="auto" w:sz="4" w:space="0"/>
            </w:tcBorders>
            <w:shd w:val="clear" w:color="auto" w:fill="auto"/>
            <w:vAlign w:val="center"/>
          </w:tcPr>
          <w:p w14:paraId="02BC09E7">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294.50</w:t>
            </w:r>
          </w:p>
        </w:tc>
        <w:tc>
          <w:tcPr>
            <w:tcW w:w="844" w:type="pct"/>
            <w:tcBorders>
              <w:top w:val="nil"/>
              <w:left w:val="nil"/>
              <w:bottom w:val="single" w:color="auto" w:sz="4" w:space="0"/>
              <w:right w:val="single" w:color="auto" w:sz="4" w:space="0"/>
            </w:tcBorders>
            <w:shd w:val="clear" w:color="auto" w:fill="auto"/>
            <w:vAlign w:val="center"/>
          </w:tcPr>
          <w:p w14:paraId="17E5B5B6">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15.50</w:t>
            </w:r>
          </w:p>
        </w:tc>
      </w:tr>
      <w:tr w14:paraId="6279790F">
        <w:tblPrEx>
          <w:tblCellMar>
            <w:top w:w="0" w:type="dxa"/>
            <w:left w:w="108" w:type="dxa"/>
            <w:bottom w:w="0" w:type="dxa"/>
            <w:right w:w="108" w:type="dxa"/>
          </w:tblCellMar>
        </w:tblPrEx>
        <w:trPr>
          <w:trHeight w:val="570" w:hRule="atLeast"/>
        </w:trPr>
        <w:tc>
          <w:tcPr>
            <w:tcW w:w="2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94780D">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bookmarkStart w:id="9" w:name="_Hlk102231627"/>
            <w:r>
              <w:rPr>
                <w:rFonts w:hint="default" w:ascii="Times New Roman" w:hAnsi="Times New Roman" w:cs="Times New Roman"/>
                <w:color w:val="000000" w:themeColor="text1"/>
                <w:kern w:val="0"/>
                <w:sz w:val="21"/>
                <w:szCs w:val="21"/>
                <w14:textFill>
                  <w14:solidFill>
                    <w14:schemeClr w14:val="tx1"/>
                  </w14:solidFill>
                </w14:textFill>
              </w:rPr>
              <w:t>缺失位点中的差异位点</w:t>
            </w:r>
            <w:bookmarkEnd w:id="9"/>
          </w:p>
        </w:tc>
        <w:tc>
          <w:tcPr>
            <w:tcW w:w="2234" w:type="pct"/>
            <w:gridSpan w:val="3"/>
            <w:tcBorders>
              <w:top w:val="single" w:color="auto" w:sz="4" w:space="0"/>
              <w:left w:val="nil"/>
              <w:bottom w:val="single" w:color="auto" w:sz="4" w:space="0"/>
              <w:right w:val="single" w:color="auto" w:sz="4" w:space="0"/>
            </w:tcBorders>
            <w:shd w:val="clear" w:color="auto" w:fill="auto"/>
            <w:vAlign w:val="center"/>
          </w:tcPr>
          <w:p w14:paraId="2163995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观察到的差异位点数（nij）</w:t>
            </w:r>
          </w:p>
        </w:tc>
      </w:tr>
      <w:tr w14:paraId="1E8CEFBF">
        <w:tblPrEx>
          <w:tblCellMar>
            <w:top w:w="0" w:type="dxa"/>
            <w:left w:w="108" w:type="dxa"/>
            <w:bottom w:w="0" w:type="dxa"/>
            <w:right w:w="108" w:type="dxa"/>
          </w:tblCellMar>
        </w:tblPrEx>
        <w:trPr>
          <w:trHeight w:val="285" w:hRule="atLeast"/>
        </w:trPr>
        <w:tc>
          <w:tcPr>
            <w:tcW w:w="727" w:type="pct"/>
            <w:tcBorders>
              <w:top w:val="nil"/>
              <w:left w:val="single" w:color="auto" w:sz="4" w:space="0"/>
              <w:bottom w:val="single" w:color="auto" w:sz="4" w:space="0"/>
              <w:right w:val="single" w:color="auto" w:sz="4" w:space="0"/>
            </w:tcBorders>
            <w:shd w:val="clear" w:color="auto" w:fill="auto"/>
            <w:vAlign w:val="center"/>
          </w:tcPr>
          <w:p w14:paraId="5D9ED299">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概率保障</w:t>
            </w:r>
          </w:p>
        </w:tc>
        <w:tc>
          <w:tcPr>
            <w:tcW w:w="945" w:type="pct"/>
            <w:tcBorders>
              <w:top w:val="nil"/>
              <w:left w:val="nil"/>
              <w:bottom w:val="single" w:color="auto" w:sz="4" w:space="0"/>
              <w:right w:val="single" w:color="auto" w:sz="4" w:space="0"/>
            </w:tcBorders>
            <w:shd w:val="clear" w:color="auto" w:fill="auto"/>
            <w:vAlign w:val="center"/>
          </w:tcPr>
          <w:p w14:paraId="0F898633">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1093" w:type="pct"/>
            <w:tcBorders>
              <w:top w:val="nil"/>
              <w:left w:val="nil"/>
              <w:bottom w:val="single" w:color="auto" w:sz="4" w:space="0"/>
              <w:right w:val="single" w:color="auto" w:sz="4" w:space="0"/>
            </w:tcBorders>
            <w:shd w:val="clear" w:color="auto" w:fill="auto"/>
            <w:vAlign w:val="center"/>
          </w:tcPr>
          <w:p w14:paraId="39B81DFE">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c>
          <w:tcPr>
            <w:tcW w:w="686" w:type="pct"/>
            <w:tcBorders>
              <w:top w:val="nil"/>
              <w:left w:val="nil"/>
              <w:bottom w:val="single" w:color="auto" w:sz="4" w:space="0"/>
              <w:right w:val="single" w:color="auto" w:sz="4" w:space="0"/>
            </w:tcBorders>
            <w:shd w:val="clear" w:color="auto" w:fill="auto"/>
            <w:vAlign w:val="center"/>
          </w:tcPr>
          <w:p w14:paraId="4770AAD2">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1547" w:type="pct"/>
            <w:gridSpan w:val="2"/>
            <w:tcBorders>
              <w:top w:val="nil"/>
              <w:left w:val="nil"/>
              <w:bottom w:val="single" w:color="auto" w:sz="4" w:space="0"/>
              <w:right w:val="single" w:color="auto" w:sz="4" w:space="0"/>
            </w:tcBorders>
            <w:shd w:val="clear" w:color="auto" w:fill="auto"/>
            <w:vAlign w:val="center"/>
          </w:tcPr>
          <w:p w14:paraId="708B7BFD">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r>
      <w:tr w14:paraId="13E9B17E">
        <w:tblPrEx>
          <w:tblCellMar>
            <w:top w:w="0" w:type="dxa"/>
            <w:left w:w="108" w:type="dxa"/>
            <w:bottom w:w="0" w:type="dxa"/>
            <w:right w:w="108" w:type="dxa"/>
          </w:tblCellMar>
        </w:tblPrEx>
        <w:trPr>
          <w:trHeight w:val="285" w:hRule="atLeast"/>
        </w:trPr>
        <w:tc>
          <w:tcPr>
            <w:tcW w:w="727" w:type="pct"/>
            <w:tcBorders>
              <w:top w:val="nil"/>
              <w:left w:val="single" w:color="auto" w:sz="4" w:space="0"/>
              <w:bottom w:val="single" w:color="auto" w:sz="4" w:space="0"/>
              <w:right w:val="single" w:color="auto" w:sz="4" w:space="0"/>
            </w:tcBorders>
            <w:shd w:val="clear" w:color="auto" w:fill="auto"/>
            <w:vAlign w:val="center"/>
          </w:tcPr>
          <w:p w14:paraId="5B81E2A2">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w:t>
            </w:r>
          </w:p>
        </w:tc>
        <w:tc>
          <w:tcPr>
            <w:tcW w:w="945" w:type="pct"/>
            <w:tcBorders>
              <w:top w:val="nil"/>
              <w:left w:val="nil"/>
              <w:bottom w:val="single" w:color="auto" w:sz="4" w:space="0"/>
              <w:right w:val="single" w:color="auto" w:sz="4" w:space="0"/>
            </w:tcBorders>
            <w:shd w:val="clear" w:color="auto" w:fill="auto"/>
            <w:vAlign w:val="center"/>
          </w:tcPr>
          <w:p w14:paraId="667C230F">
            <w:pPr>
              <w:widowControl/>
              <w:spacing w:line="360" w:lineRule="auto"/>
              <w:jc w:val="cente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093" w:type="pct"/>
            <w:tcBorders>
              <w:top w:val="nil"/>
              <w:left w:val="nil"/>
              <w:bottom w:val="single" w:color="auto" w:sz="4" w:space="0"/>
              <w:right w:val="single" w:color="auto" w:sz="4" w:space="0"/>
            </w:tcBorders>
            <w:shd w:val="clear" w:color="auto" w:fill="auto"/>
            <w:vAlign w:val="center"/>
          </w:tcPr>
          <w:p w14:paraId="0B5CE030">
            <w:pPr>
              <w:widowControl/>
              <w:spacing w:line="360" w:lineRule="auto"/>
              <w:jc w:val="cente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686" w:type="pct"/>
            <w:tcBorders>
              <w:top w:val="nil"/>
              <w:left w:val="nil"/>
              <w:bottom w:val="single" w:color="auto" w:sz="4" w:space="0"/>
              <w:right w:val="single" w:color="auto" w:sz="4" w:space="0"/>
            </w:tcBorders>
            <w:shd w:val="clear" w:color="auto" w:fill="auto"/>
            <w:vAlign w:val="center"/>
          </w:tcPr>
          <w:p w14:paraId="5869E0DC">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5.20</w:t>
            </w:r>
          </w:p>
        </w:tc>
        <w:tc>
          <w:tcPr>
            <w:tcW w:w="1547" w:type="pct"/>
            <w:gridSpan w:val="2"/>
            <w:tcBorders>
              <w:top w:val="nil"/>
              <w:left w:val="nil"/>
              <w:bottom w:val="single" w:color="auto" w:sz="4" w:space="0"/>
              <w:right w:val="single" w:color="auto" w:sz="4" w:space="0"/>
            </w:tcBorders>
            <w:shd w:val="clear" w:color="auto" w:fill="auto"/>
            <w:vAlign w:val="center"/>
          </w:tcPr>
          <w:p w14:paraId="125D62AB">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6.20</w:t>
            </w:r>
          </w:p>
        </w:tc>
      </w:tr>
      <w:tr w14:paraId="3B5D78E6">
        <w:tblPrEx>
          <w:tblCellMar>
            <w:top w:w="0" w:type="dxa"/>
            <w:left w:w="108" w:type="dxa"/>
            <w:bottom w:w="0" w:type="dxa"/>
            <w:right w:w="108" w:type="dxa"/>
          </w:tblCellMar>
        </w:tblPrEx>
        <w:trPr>
          <w:trHeight w:val="285" w:hRule="atLeast"/>
        </w:trPr>
        <w:tc>
          <w:tcPr>
            <w:tcW w:w="16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5603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bookmarkStart w:id="10" w:name="_Hlk102231695"/>
            <w:r>
              <w:rPr>
                <w:rFonts w:hint="default" w:ascii="Times New Roman" w:hAnsi="Times New Roman" w:cs="Times New Roman"/>
                <w:color w:val="000000" w:themeColor="text1"/>
                <w:kern w:val="0"/>
                <w:sz w:val="21"/>
                <w:szCs w:val="21"/>
                <w14:textFill>
                  <w14:solidFill>
                    <w14:schemeClr w14:val="tx1"/>
                  </w14:solidFill>
                </w14:textFill>
              </w:rPr>
              <w:t>观察到的遗传相似度</w:t>
            </w:r>
            <w:bookmarkEnd w:id="10"/>
            <w:r>
              <w:rPr>
                <w:rFonts w:hint="default" w:ascii="Times New Roman" w:hAnsi="Times New Roman" w:cs="Times New Roman"/>
                <w:color w:val="000000" w:themeColor="text1"/>
                <w:kern w:val="0"/>
                <w:sz w:val="21"/>
                <w:szCs w:val="21"/>
                <w14:textFill>
                  <w14:solidFill>
                    <w14:schemeClr w14:val="tx1"/>
                  </w14:solidFill>
                </w14:textFill>
              </w:rPr>
              <w:t>（GS）</w:t>
            </w:r>
          </w:p>
        </w:tc>
        <w:tc>
          <w:tcPr>
            <w:tcW w:w="1779" w:type="pct"/>
            <w:gridSpan w:val="2"/>
            <w:tcBorders>
              <w:top w:val="single" w:color="auto" w:sz="4" w:space="0"/>
              <w:left w:val="nil"/>
              <w:bottom w:val="single" w:color="auto" w:sz="4" w:space="0"/>
              <w:right w:val="single" w:color="auto" w:sz="4" w:space="0"/>
            </w:tcBorders>
            <w:shd w:val="clear" w:color="auto" w:fill="auto"/>
            <w:vAlign w:val="center"/>
          </w:tcPr>
          <w:p w14:paraId="6D25B141">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遗传相似度（GS）偏差</w:t>
            </w:r>
          </w:p>
        </w:tc>
        <w:tc>
          <w:tcPr>
            <w:tcW w:w="703" w:type="pct"/>
            <w:tcBorders>
              <w:top w:val="nil"/>
              <w:left w:val="nil"/>
              <w:bottom w:val="single" w:color="auto" w:sz="4" w:space="0"/>
              <w:right w:val="single" w:color="auto" w:sz="4" w:space="0"/>
            </w:tcBorders>
            <w:shd w:val="clear" w:color="auto" w:fill="auto"/>
            <w:noWrap/>
            <w:vAlign w:val="center"/>
          </w:tcPr>
          <w:p w14:paraId="2A709E94">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c>
          <w:tcPr>
            <w:tcW w:w="844" w:type="pct"/>
            <w:tcBorders>
              <w:top w:val="nil"/>
              <w:left w:val="nil"/>
              <w:bottom w:val="single" w:color="auto" w:sz="4" w:space="0"/>
              <w:right w:val="single" w:color="auto" w:sz="4" w:space="0"/>
            </w:tcBorders>
            <w:shd w:val="clear" w:color="auto" w:fill="auto"/>
            <w:noWrap/>
            <w:vAlign w:val="center"/>
          </w:tcPr>
          <w:p w14:paraId="6D1D21BD">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r>
      <w:tr w14:paraId="71C98ECC">
        <w:tblPrEx>
          <w:tblCellMar>
            <w:top w:w="0" w:type="dxa"/>
            <w:left w:w="108" w:type="dxa"/>
            <w:bottom w:w="0" w:type="dxa"/>
            <w:right w:w="108" w:type="dxa"/>
          </w:tblCellMar>
        </w:tblPrEx>
        <w:trPr>
          <w:trHeight w:val="285" w:hRule="atLeast"/>
        </w:trPr>
        <w:tc>
          <w:tcPr>
            <w:tcW w:w="727" w:type="pct"/>
            <w:tcBorders>
              <w:top w:val="nil"/>
              <w:left w:val="single" w:color="auto" w:sz="4" w:space="0"/>
              <w:bottom w:val="single" w:color="auto" w:sz="4" w:space="0"/>
              <w:right w:val="single" w:color="auto" w:sz="4" w:space="0"/>
            </w:tcBorders>
            <w:shd w:val="clear" w:color="auto" w:fill="auto"/>
            <w:vAlign w:val="center"/>
          </w:tcPr>
          <w:p w14:paraId="18FD60A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c>
          <w:tcPr>
            <w:tcW w:w="945" w:type="pct"/>
            <w:tcBorders>
              <w:top w:val="nil"/>
              <w:left w:val="nil"/>
              <w:bottom w:val="single" w:color="auto" w:sz="4" w:space="0"/>
              <w:right w:val="single" w:color="auto" w:sz="4" w:space="0"/>
            </w:tcBorders>
            <w:shd w:val="clear" w:color="auto" w:fill="auto"/>
            <w:vAlign w:val="center"/>
          </w:tcPr>
          <w:p w14:paraId="382E35FF">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1093" w:type="pct"/>
            <w:tcBorders>
              <w:top w:val="nil"/>
              <w:left w:val="nil"/>
              <w:bottom w:val="single" w:color="auto" w:sz="4" w:space="0"/>
              <w:right w:val="single" w:color="auto" w:sz="4" w:space="0"/>
            </w:tcBorders>
            <w:shd w:val="clear" w:color="auto" w:fill="auto"/>
            <w:vAlign w:val="center"/>
          </w:tcPr>
          <w:p w14:paraId="7041588C">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686" w:type="pct"/>
            <w:tcBorders>
              <w:top w:val="nil"/>
              <w:left w:val="nil"/>
              <w:bottom w:val="single" w:color="auto" w:sz="4" w:space="0"/>
              <w:right w:val="single" w:color="auto" w:sz="4" w:space="0"/>
            </w:tcBorders>
            <w:shd w:val="clear" w:color="auto" w:fill="auto"/>
            <w:vAlign w:val="center"/>
          </w:tcPr>
          <w:p w14:paraId="574E58C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c>
          <w:tcPr>
            <w:tcW w:w="703" w:type="pct"/>
            <w:tcBorders>
              <w:top w:val="nil"/>
              <w:left w:val="nil"/>
              <w:bottom w:val="single" w:color="auto" w:sz="4" w:space="0"/>
              <w:right w:val="single" w:color="auto" w:sz="4" w:space="0"/>
            </w:tcBorders>
            <w:shd w:val="clear" w:color="auto" w:fill="auto"/>
            <w:noWrap/>
            <w:vAlign w:val="center"/>
          </w:tcPr>
          <w:p w14:paraId="2FC3F6F9">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c>
          <w:tcPr>
            <w:tcW w:w="844" w:type="pct"/>
            <w:tcBorders>
              <w:top w:val="nil"/>
              <w:left w:val="nil"/>
              <w:bottom w:val="single" w:color="auto" w:sz="4" w:space="0"/>
              <w:right w:val="single" w:color="auto" w:sz="4" w:space="0"/>
            </w:tcBorders>
            <w:shd w:val="clear" w:color="auto" w:fill="auto"/>
            <w:noWrap/>
            <w:vAlign w:val="center"/>
          </w:tcPr>
          <w:p w14:paraId="4CD340FD">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r>
      <w:tr w14:paraId="54E10621">
        <w:tblPrEx>
          <w:tblCellMar>
            <w:top w:w="0" w:type="dxa"/>
            <w:left w:w="108" w:type="dxa"/>
            <w:bottom w:w="0" w:type="dxa"/>
            <w:right w:w="108" w:type="dxa"/>
          </w:tblCellMar>
        </w:tblPrEx>
        <w:trPr>
          <w:trHeight w:val="285" w:hRule="atLeast"/>
        </w:trPr>
        <w:tc>
          <w:tcPr>
            <w:tcW w:w="727" w:type="pct"/>
            <w:tcBorders>
              <w:top w:val="nil"/>
              <w:left w:val="single" w:color="auto" w:sz="4" w:space="0"/>
              <w:bottom w:val="single" w:color="auto" w:sz="4" w:space="0"/>
              <w:right w:val="single" w:color="auto" w:sz="4" w:space="0"/>
            </w:tcBorders>
            <w:shd w:val="clear" w:color="auto" w:fill="auto"/>
            <w:vAlign w:val="center"/>
          </w:tcPr>
          <w:p w14:paraId="6BF10E77">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97.89%</w:t>
            </w:r>
          </w:p>
        </w:tc>
        <w:tc>
          <w:tcPr>
            <w:tcW w:w="945" w:type="pct"/>
            <w:tcBorders>
              <w:top w:val="nil"/>
              <w:left w:val="nil"/>
              <w:bottom w:val="single" w:color="auto" w:sz="4" w:space="0"/>
              <w:right w:val="single" w:color="auto" w:sz="4" w:space="0"/>
            </w:tcBorders>
            <w:shd w:val="clear" w:color="auto" w:fill="auto"/>
            <w:vAlign w:val="center"/>
          </w:tcPr>
          <w:p w14:paraId="2E55803B">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98.23%</w:t>
            </w:r>
          </w:p>
        </w:tc>
        <w:tc>
          <w:tcPr>
            <w:tcW w:w="1093" w:type="pct"/>
            <w:tcBorders>
              <w:top w:val="nil"/>
              <w:left w:val="nil"/>
              <w:bottom w:val="single" w:color="auto" w:sz="4" w:space="0"/>
              <w:right w:val="single" w:color="auto" w:sz="4" w:space="0"/>
            </w:tcBorders>
            <w:shd w:val="clear" w:color="auto" w:fill="auto"/>
            <w:vAlign w:val="center"/>
          </w:tcPr>
          <w:p w14:paraId="31714EE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color w:val="000000" w:themeColor="text1"/>
                <w:sz w:val="21"/>
                <w:szCs w:val="21"/>
                <w14:textFill>
                  <w14:solidFill>
                    <w14:schemeClr w14:val="tx1"/>
                  </w14:solidFill>
                </w14:textFill>
              </w:rPr>
              <w:t>%</w:t>
            </w:r>
          </w:p>
        </w:tc>
        <w:tc>
          <w:tcPr>
            <w:tcW w:w="686" w:type="pct"/>
            <w:tcBorders>
              <w:top w:val="nil"/>
              <w:left w:val="nil"/>
              <w:bottom w:val="single" w:color="auto" w:sz="4" w:space="0"/>
              <w:right w:val="single" w:color="auto" w:sz="4" w:space="0"/>
            </w:tcBorders>
            <w:shd w:val="clear" w:color="auto" w:fill="auto"/>
            <w:vAlign w:val="center"/>
          </w:tcPr>
          <w:p w14:paraId="308FC4F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1"/>
                <w:szCs w:val="21"/>
                <w14:textFill>
                  <w14:solidFill>
                    <w14:schemeClr w14:val="tx1"/>
                  </w14:solidFill>
                </w14:textFill>
              </w:rPr>
              <w:t>%</w:t>
            </w:r>
          </w:p>
        </w:tc>
        <w:tc>
          <w:tcPr>
            <w:tcW w:w="703" w:type="pct"/>
            <w:tcBorders>
              <w:top w:val="nil"/>
              <w:left w:val="nil"/>
              <w:bottom w:val="single" w:color="auto" w:sz="4" w:space="0"/>
              <w:right w:val="single" w:color="auto" w:sz="4" w:space="0"/>
            </w:tcBorders>
            <w:shd w:val="clear" w:color="auto" w:fill="auto"/>
            <w:noWrap/>
            <w:vAlign w:val="center"/>
          </w:tcPr>
          <w:p w14:paraId="5770FEE7">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c>
          <w:tcPr>
            <w:tcW w:w="844" w:type="pct"/>
            <w:tcBorders>
              <w:top w:val="nil"/>
              <w:left w:val="nil"/>
              <w:bottom w:val="single" w:color="auto" w:sz="4" w:space="0"/>
              <w:right w:val="single" w:color="auto" w:sz="4" w:space="0"/>
            </w:tcBorders>
            <w:shd w:val="clear" w:color="auto" w:fill="auto"/>
            <w:noWrap/>
            <w:vAlign w:val="center"/>
          </w:tcPr>
          <w:p w14:paraId="029A1BFD">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w:t>
            </w:r>
          </w:p>
        </w:tc>
      </w:tr>
    </w:tbl>
    <w:p w14:paraId="7E3A18EE">
      <w:pPr>
        <w:pStyle w:val="5"/>
        <w:spacing w:line="360" w:lineRule="auto"/>
        <w:ind w:left="482" w:firstLine="0" w:firstLineChars="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7</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关于质控参数R2的设置</w:t>
      </w:r>
    </w:p>
    <w:p w14:paraId="68949EB0">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本标准中R2指样品的两次重现性实验中，检出标记位点的重现率。本标准规定R2大于或等于95%时，判定测序数据合格。对于该参数设置的理由如下：</w:t>
      </w:r>
    </w:p>
    <w:p w14:paraId="39CF9B82">
      <w:pPr>
        <w:pStyle w:val="5"/>
        <w:spacing w:line="360" w:lineRule="auto"/>
        <w:ind w:left="482" w:firstLine="0" w:firstLineChars="0"/>
        <w:rPr>
          <w:rFonts w:hint="default" w:ascii="Times New Roman" w:hAnsi="Times New Roman" w:cs="Times New Roman" w:eastAsiaTheme="minorEastAsia"/>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（1）设置该参数是满足标准范围的需要</w:t>
      </w:r>
    </w:p>
    <w:p w14:paraId="0722A53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标准引物在开发和验证过程中，不能穷尽现有全部</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品种或者未来可能出现的</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品种。可能存在与标准开发过程中使用的</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品种在遗传上有巨大差异的品种，进而导致较多引物无法扩增，出现较多数据缺失。为应对这种情况，需要设置R2作为样品数据质量的控制参数。</w:t>
      </w:r>
    </w:p>
    <w:p w14:paraId="25A5E522">
      <w:pPr>
        <w:pStyle w:val="5"/>
        <w:spacing w:line="360" w:lineRule="auto"/>
        <w:ind w:left="482" w:firstLine="0" w:firstLineChars="0"/>
        <w:rPr>
          <w:rFonts w:hint="default" w:ascii="Times New Roman" w:hAnsi="Times New Roman" w:cs="Times New Roman" w:eastAsiaTheme="minorEastAsia"/>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Cs/>
          <w:snapToGrid w:val="0"/>
          <w:color w:val="000000" w:themeColor="text1"/>
          <w:kern w:val="0"/>
          <w:sz w:val="24"/>
          <w14:textFill>
            <w14:solidFill>
              <w14:schemeClr w14:val="tx1"/>
            </w14:solidFill>
          </w14:textFill>
        </w:rPr>
        <w:t>（2）该阈值为鉴定结论重现性提供了有效保障</w:t>
      </w:r>
    </w:p>
    <w:p w14:paraId="26C2A130">
      <w:pPr>
        <w:pStyle w:val="5"/>
        <w:numPr>
          <w:ilvl w:val="255"/>
          <w:numId w:val="0"/>
        </w:numPr>
        <w:spacing w:line="360" w:lineRule="auto"/>
        <w:ind w:firstLine="480" w:firstLineChars="20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位点检出稳定性（R2的值）对鉴定结论稳定性的影响见表4。当R1值较低时，表明存在大量位点不可检出，假设检出位点数量为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240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个；当R2值为95%时，那么，非共同检出位点数量为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12</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个；根据二项分布，在95%的概率保障下，非共同检出位点中，差异位点最多为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个，由此观察到的遗传相似度最大值为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98.01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%，遗传相似度（GS）偏差</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最大</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32</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%。由此可见，R2值确保了遗传相似度的稳定性，保障了检出位点缺失率对鉴定结论重现性影响不大。</w:t>
      </w:r>
    </w:p>
    <w:p w14:paraId="7BBF6A72">
      <w:pPr>
        <w:pStyle w:val="5"/>
        <w:numPr>
          <w:ilvl w:val="255"/>
          <w:numId w:val="0"/>
        </w:numPr>
        <w:spacing w:line="360" w:lineRule="auto"/>
        <w:ind w:firstLine="480" w:firstLineChars="200"/>
        <w:jc w:val="center"/>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eastAsia" w:ascii="黑体" w:hAnsi="黑体" w:eastAsia="黑体" w:cs="黑体"/>
          <w:snapToGrid w:val="0"/>
          <w:color w:val="000000" w:themeColor="text1"/>
          <w:kern w:val="0"/>
          <w:sz w:val="24"/>
          <w14:textFill>
            <w14:solidFill>
              <w14:schemeClr w14:val="tx1"/>
            </w14:solidFill>
          </w14:textFill>
        </w:rPr>
        <w:t>表4 位点检出稳定性对鉴定结论稳定性的影响</w:t>
      </w:r>
    </w:p>
    <w:tbl>
      <w:tblPr>
        <w:tblStyle w:val="12"/>
        <w:tblW w:w="5000" w:type="pct"/>
        <w:tblInd w:w="0" w:type="dxa"/>
        <w:tblLayout w:type="autofit"/>
        <w:tblCellMar>
          <w:top w:w="0" w:type="dxa"/>
          <w:left w:w="108" w:type="dxa"/>
          <w:bottom w:w="0" w:type="dxa"/>
          <w:right w:w="108" w:type="dxa"/>
        </w:tblCellMar>
      </w:tblPr>
      <w:tblGrid>
        <w:gridCol w:w="1242"/>
        <w:gridCol w:w="1739"/>
        <w:gridCol w:w="1406"/>
        <w:gridCol w:w="876"/>
        <w:gridCol w:w="1596"/>
        <w:gridCol w:w="1441"/>
        <w:gridCol w:w="222"/>
      </w:tblGrid>
      <w:tr w14:paraId="3C5EEE40">
        <w:tblPrEx>
          <w:tblCellMar>
            <w:top w:w="0" w:type="dxa"/>
            <w:left w:w="108" w:type="dxa"/>
            <w:bottom w:w="0" w:type="dxa"/>
            <w:right w:w="108" w:type="dxa"/>
          </w:tblCellMar>
        </w:tblPrEx>
        <w:trPr>
          <w:gridAfter w:val="1"/>
          <w:wAfter w:w="130" w:type="pct"/>
          <w:trHeight w:val="468" w:hRule="atLeast"/>
        </w:trPr>
        <w:tc>
          <w:tcPr>
            <w:tcW w:w="7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5EE1E0">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可检测位点总数</w:t>
            </w:r>
          </w:p>
        </w:tc>
        <w:tc>
          <w:tcPr>
            <w:tcW w:w="10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1CCF15">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真实的遗传相似度（GS）</w:t>
            </w:r>
          </w:p>
        </w:tc>
        <w:tc>
          <w:tcPr>
            <w:tcW w:w="8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9AC1E1">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真实差异位点数（n</w:t>
            </w:r>
            <w:r>
              <w:rPr>
                <w:rFonts w:hint="default" w:ascii="Times New Roman" w:hAnsi="Times New Roman" w:cs="Times New Roman"/>
                <w:color w:val="000000" w:themeColor="text1"/>
                <w:kern w:val="0"/>
                <w:sz w:val="21"/>
                <w:szCs w:val="21"/>
                <w:vertAlign w:val="subscript"/>
                <w14:textFill>
                  <w14:solidFill>
                    <w14:schemeClr w14:val="tx1"/>
                  </w14:solidFill>
                </w14:textFill>
              </w:rPr>
              <w:t>ij</w:t>
            </w:r>
            <w:r>
              <w:rPr>
                <w:rFonts w:hint="default" w:ascii="Times New Roman" w:hAnsi="Times New Roman" w:cs="Times New Roman"/>
                <w:color w:val="000000" w:themeColor="text1"/>
                <w:kern w:val="0"/>
                <w:sz w:val="21"/>
                <w:szCs w:val="21"/>
                <w14:textFill>
                  <w14:solidFill>
                    <w14:schemeClr w14:val="tx1"/>
                  </w14:solidFill>
                </w14:textFill>
              </w:rPr>
              <w:t>）</w:t>
            </w:r>
          </w:p>
        </w:tc>
        <w:tc>
          <w:tcPr>
            <w:tcW w:w="5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C53AF">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R2的值</w:t>
            </w:r>
          </w:p>
        </w:tc>
        <w:tc>
          <w:tcPr>
            <w:tcW w:w="9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B3298">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共同检出位点数（N</w:t>
            </w:r>
            <w:r>
              <w:rPr>
                <w:rFonts w:hint="default" w:ascii="Times New Roman" w:hAnsi="Times New Roman" w:cs="Times New Roman"/>
                <w:color w:val="000000" w:themeColor="text1"/>
                <w:kern w:val="0"/>
                <w:sz w:val="21"/>
                <w:szCs w:val="21"/>
                <w:vertAlign w:val="subscript"/>
                <w14:textFill>
                  <w14:solidFill>
                    <w14:schemeClr w14:val="tx1"/>
                  </w14:solidFill>
                </w14:textFill>
              </w:rPr>
              <w:t>ij</w:t>
            </w:r>
            <w:r>
              <w:rPr>
                <w:rFonts w:hint="default" w:ascii="Times New Roman" w:hAnsi="Times New Roman" w:cs="Times New Roman"/>
                <w:color w:val="000000" w:themeColor="text1"/>
                <w:kern w:val="0"/>
                <w:sz w:val="21"/>
                <w:szCs w:val="21"/>
                <w14:textFill>
                  <w14:solidFill>
                    <w14:schemeClr w14:val="tx1"/>
                  </w14:solidFill>
                </w14:textFill>
              </w:rPr>
              <w:t>）</w:t>
            </w:r>
          </w:p>
        </w:tc>
        <w:tc>
          <w:tcPr>
            <w:tcW w:w="8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E8CC4D">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非共同检出位点数</w:t>
            </w:r>
          </w:p>
        </w:tc>
      </w:tr>
      <w:tr w14:paraId="5377C015">
        <w:tblPrEx>
          <w:tblCellMar>
            <w:top w:w="0" w:type="dxa"/>
            <w:left w:w="108" w:type="dxa"/>
            <w:bottom w:w="0" w:type="dxa"/>
            <w:right w:w="108" w:type="dxa"/>
          </w:tblCellMar>
        </w:tblPrEx>
        <w:trPr>
          <w:trHeight w:val="654" w:hRule="atLeast"/>
        </w:trPr>
        <w:tc>
          <w:tcPr>
            <w:tcW w:w="729" w:type="pct"/>
            <w:vMerge w:val="continue"/>
            <w:tcBorders>
              <w:top w:val="single" w:color="auto" w:sz="4" w:space="0"/>
              <w:left w:val="single" w:color="auto" w:sz="4" w:space="0"/>
              <w:bottom w:val="single" w:color="auto" w:sz="4" w:space="0"/>
              <w:right w:val="single" w:color="auto" w:sz="4" w:space="0"/>
            </w:tcBorders>
            <w:vAlign w:val="center"/>
          </w:tcPr>
          <w:p w14:paraId="6FF1C44F">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1020" w:type="pct"/>
            <w:vMerge w:val="continue"/>
            <w:tcBorders>
              <w:top w:val="single" w:color="auto" w:sz="4" w:space="0"/>
              <w:left w:val="single" w:color="auto" w:sz="4" w:space="0"/>
              <w:bottom w:val="single" w:color="auto" w:sz="4" w:space="0"/>
              <w:right w:val="single" w:color="auto" w:sz="4" w:space="0"/>
            </w:tcBorders>
            <w:vAlign w:val="center"/>
          </w:tcPr>
          <w:p w14:paraId="2A1C7A23">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825" w:type="pct"/>
            <w:vMerge w:val="continue"/>
            <w:tcBorders>
              <w:top w:val="single" w:color="auto" w:sz="4" w:space="0"/>
              <w:left w:val="single" w:color="auto" w:sz="4" w:space="0"/>
              <w:bottom w:val="single" w:color="auto" w:sz="4" w:space="0"/>
              <w:right w:val="single" w:color="auto" w:sz="4" w:space="0"/>
            </w:tcBorders>
            <w:vAlign w:val="center"/>
          </w:tcPr>
          <w:p w14:paraId="417E18E6">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537EF31A">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0F556448">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845" w:type="pct"/>
            <w:vMerge w:val="continue"/>
            <w:tcBorders>
              <w:top w:val="single" w:color="auto" w:sz="4" w:space="0"/>
              <w:left w:val="single" w:color="auto" w:sz="4" w:space="0"/>
              <w:bottom w:val="single" w:color="auto" w:sz="4" w:space="0"/>
              <w:right w:val="single" w:color="auto" w:sz="4" w:space="0"/>
            </w:tcBorders>
            <w:vAlign w:val="center"/>
          </w:tcPr>
          <w:p w14:paraId="52612397">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130" w:type="pct"/>
            <w:tcBorders>
              <w:top w:val="nil"/>
              <w:left w:val="nil"/>
              <w:bottom w:val="nil"/>
              <w:right w:val="nil"/>
            </w:tcBorders>
            <w:shd w:val="clear" w:color="auto" w:fill="auto"/>
            <w:noWrap/>
            <w:vAlign w:val="bottom"/>
          </w:tcPr>
          <w:p w14:paraId="613B9E55">
            <w:pPr>
              <w:widowControl/>
              <w:spacing w:line="360" w:lineRule="auto"/>
              <w:jc w:val="center"/>
              <w:rPr>
                <w:rFonts w:hint="default" w:ascii="Times New Roman" w:hAnsi="Times New Roman" w:cs="Times New Roman"/>
                <w:color w:val="000000" w:themeColor="text1"/>
                <w:kern w:val="0"/>
                <w:sz w:val="24"/>
                <w:szCs w:val="24"/>
                <w14:textFill>
                  <w14:solidFill>
                    <w14:schemeClr w14:val="tx1"/>
                  </w14:solidFill>
                </w14:textFill>
              </w:rPr>
            </w:pPr>
          </w:p>
        </w:tc>
      </w:tr>
      <w:tr w14:paraId="7B7286DF">
        <w:tblPrEx>
          <w:tblCellMar>
            <w:top w:w="0" w:type="dxa"/>
            <w:left w:w="108" w:type="dxa"/>
            <w:bottom w:w="0" w:type="dxa"/>
            <w:right w:w="108" w:type="dxa"/>
          </w:tblCellMar>
        </w:tblPrEx>
        <w:trPr>
          <w:trHeight w:val="285" w:hRule="atLeast"/>
        </w:trPr>
        <w:tc>
          <w:tcPr>
            <w:tcW w:w="729" w:type="pct"/>
            <w:tcBorders>
              <w:top w:val="nil"/>
              <w:left w:val="single" w:color="auto" w:sz="4" w:space="0"/>
              <w:bottom w:val="single" w:color="auto" w:sz="4" w:space="0"/>
              <w:right w:val="single" w:color="auto" w:sz="4" w:space="0"/>
            </w:tcBorders>
            <w:shd w:val="clear" w:color="auto" w:fill="auto"/>
            <w:vAlign w:val="bottom"/>
          </w:tcPr>
          <w:p w14:paraId="405FB176">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240</w:t>
            </w:r>
          </w:p>
        </w:tc>
        <w:tc>
          <w:tcPr>
            <w:tcW w:w="1020" w:type="pct"/>
            <w:tcBorders>
              <w:top w:val="nil"/>
              <w:left w:val="nil"/>
              <w:bottom w:val="single" w:color="auto" w:sz="4" w:space="0"/>
              <w:right w:val="single" w:color="auto" w:sz="4" w:space="0"/>
            </w:tcBorders>
            <w:shd w:val="clear" w:color="auto" w:fill="auto"/>
            <w:vAlign w:val="bottom"/>
          </w:tcPr>
          <w:p w14:paraId="43050799">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98</w:t>
            </w:r>
            <w:r>
              <w:rPr>
                <w:rFonts w:hint="default" w:ascii="Times New Roman" w:hAnsi="Times New Roman" w:cs="Times New Roman"/>
                <w:color w:val="000000" w:themeColor="text1"/>
                <w:kern w:val="0"/>
                <w:sz w:val="21"/>
                <w:szCs w:val="21"/>
                <w14:textFill>
                  <w14:solidFill>
                    <w14:schemeClr w14:val="tx1"/>
                  </w14:solidFill>
                </w14:textFill>
              </w:rPr>
              <w:t>%</w:t>
            </w:r>
          </w:p>
        </w:tc>
        <w:tc>
          <w:tcPr>
            <w:tcW w:w="825" w:type="pct"/>
            <w:tcBorders>
              <w:top w:val="nil"/>
              <w:left w:val="nil"/>
              <w:bottom w:val="single" w:color="auto" w:sz="4" w:space="0"/>
              <w:right w:val="single" w:color="auto" w:sz="4" w:space="0"/>
            </w:tcBorders>
            <w:shd w:val="clear" w:color="auto" w:fill="auto"/>
            <w:vAlign w:val="bottom"/>
          </w:tcPr>
          <w:p w14:paraId="286C05B0">
            <w:pPr>
              <w:widowControl/>
              <w:spacing w:line="360" w:lineRule="auto"/>
              <w:jc w:val="center"/>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4.8</w:t>
            </w:r>
          </w:p>
        </w:tc>
        <w:tc>
          <w:tcPr>
            <w:tcW w:w="514" w:type="pct"/>
            <w:tcBorders>
              <w:top w:val="nil"/>
              <w:left w:val="nil"/>
              <w:bottom w:val="single" w:color="auto" w:sz="4" w:space="0"/>
              <w:right w:val="single" w:color="auto" w:sz="4" w:space="0"/>
            </w:tcBorders>
            <w:shd w:val="clear" w:color="auto" w:fill="auto"/>
            <w:vAlign w:val="bottom"/>
          </w:tcPr>
          <w:p w14:paraId="1289610B">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95%</w:t>
            </w:r>
          </w:p>
        </w:tc>
        <w:tc>
          <w:tcPr>
            <w:tcW w:w="936" w:type="pct"/>
            <w:tcBorders>
              <w:top w:val="nil"/>
              <w:left w:val="nil"/>
              <w:bottom w:val="single" w:color="auto" w:sz="4" w:space="0"/>
              <w:right w:val="single" w:color="auto" w:sz="4" w:space="0"/>
            </w:tcBorders>
            <w:shd w:val="clear" w:color="auto" w:fill="auto"/>
            <w:vAlign w:val="bottom"/>
          </w:tcPr>
          <w:p w14:paraId="6A8F9475">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228.00</w:t>
            </w:r>
          </w:p>
        </w:tc>
        <w:tc>
          <w:tcPr>
            <w:tcW w:w="845" w:type="pct"/>
            <w:tcBorders>
              <w:top w:val="nil"/>
              <w:left w:val="nil"/>
              <w:bottom w:val="single" w:color="auto" w:sz="4" w:space="0"/>
              <w:right w:val="single" w:color="auto" w:sz="4" w:space="0"/>
            </w:tcBorders>
            <w:shd w:val="clear" w:color="auto" w:fill="auto"/>
            <w:vAlign w:val="bottom"/>
          </w:tcPr>
          <w:p w14:paraId="453D3686">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12.00</w:t>
            </w:r>
          </w:p>
        </w:tc>
        <w:tc>
          <w:tcPr>
            <w:tcW w:w="130" w:type="pct"/>
            <w:vAlign w:val="center"/>
          </w:tcPr>
          <w:p w14:paraId="77A164F9">
            <w:pPr>
              <w:widowControl/>
              <w:spacing w:line="360" w:lineRule="auto"/>
              <w:jc w:val="left"/>
              <w:rPr>
                <w:rFonts w:hint="default" w:ascii="Times New Roman" w:hAnsi="Times New Roman" w:cs="Times New Roman"/>
                <w:color w:val="000000" w:themeColor="text1"/>
                <w:kern w:val="0"/>
                <w:sz w:val="24"/>
                <w:szCs w:val="24"/>
                <w14:textFill>
                  <w14:solidFill>
                    <w14:schemeClr w14:val="tx1"/>
                  </w14:solidFill>
                </w14:textFill>
              </w:rPr>
            </w:pPr>
          </w:p>
        </w:tc>
      </w:tr>
      <w:tr w14:paraId="7F7D6D59">
        <w:tblPrEx>
          <w:tblCellMar>
            <w:top w:w="0" w:type="dxa"/>
            <w:left w:w="108" w:type="dxa"/>
            <w:bottom w:w="0" w:type="dxa"/>
            <w:right w:w="108" w:type="dxa"/>
          </w:tblCellMar>
        </w:tblPrEx>
        <w:trPr>
          <w:trHeight w:val="696" w:hRule="atLeast"/>
        </w:trPr>
        <w:tc>
          <w:tcPr>
            <w:tcW w:w="25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0AF680">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非共同位点中，差异位点数</w:t>
            </w:r>
          </w:p>
        </w:tc>
        <w:tc>
          <w:tcPr>
            <w:tcW w:w="1450" w:type="pct"/>
            <w:gridSpan w:val="2"/>
            <w:tcBorders>
              <w:top w:val="single" w:color="auto" w:sz="4" w:space="0"/>
              <w:left w:val="nil"/>
              <w:bottom w:val="single" w:color="auto" w:sz="4" w:space="0"/>
              <w:right w:val="single" w:color="auto" w:sz="4" w:space="0"/>
            </w:tcBorders>
            <w:shd w:val="clear" w:color="auto" w:fill="auto"/>
            <w:vAlign w:val="center"/>
          </w:tcPr>
          <w:p w14:paraId="27CA6F62">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观察到的遗传相似度（GS）</w:t>
            </w:r>
          </w:p>
        </w:tc>
        <w:tc>
          <w:tcPr>
            <w:tcW w:w="845" w:type="pct"/>
            <w:vMerge w:val="restart"/>
            <w:tcBorders>
              <w:top w:val="nil"/>
              <w:left w:val="single" w:color="auto" w:sz="4" w:space="0"/>
              <w:bottom w:val="single" w:color="000000" w:sz="4" w:space="0"/>
              <w:right w:val="single" w:color="auto" w:sz="4" w:space="0"/>
            </w:tcBorders>
            <w:shd w:val="clear" w:color="auto" w:fill="auto"/>
            <w:vAlign w:val="center"/>
          </w:tcPr>
          <w:p w14:paraId="52189E7A">
            <w:pPr>
              <w:widowControl/>
              <w:jc w:val="center"/>
              <w:rPr>
                <w:rFonts w:hint="default" w:ascii="Times New Roman" w:hAnsi="Times New Roman" w:cs="Times New Roman"/>
                <w:color w:val="000000" w:themeColor="text1"/>
                <w:kern w:val="0"/>
                <w:sz w:val="21"/>
                <w:szCs w:val="21"/>
                <w14:textFill>
                  <w14:solidFill>
                    <w14:schemeClr w14:val="tx1"/>
                  </w14:solidFill>
                </w14:textFill>
              </w:rPr>
            </w:pPr>
            <w:bookmarkStart w:id="11" w:name="_Hlk102235100"/>
            <w:r>
              <w:rPr>
                <w:rFonts w:hint="default" w:ascii="Times New Roman" w:hAnsi="Times New Roman" w:cs="Times New Roman"/>
                <w:color w:val="000000" w:themeColor="text1"/>
                <w:kern w:val="0"/>
                <w:sz w:val="21"/>
                <w:szCs w:val="21"/>
                <w14:textFill>
                  <w14:solidFill>
                    <w14:schemeClr w14:val="tx1"/>
                  </w14:solidFill>
                </w14:textFill>
              </w:rPr>
              <w:t>遗传相似度（GS）偏差最大值</w:t>
            </w:r>
            <w:bookmarkEnd w:id="11"/>
          </w:p>
        </w:tc>
        <w:tc>
          <w:tcPr>
            <w:tcW w:w="130" w:type="pct"/>
            <w:vAlign w:val="center"/>
          </w:tcPr>
          <w:p w14:paraId="383D5A4E">
            <w:pPr>
              <w:widowControl/>
              <w:spacing w:line="360" w:lineRule="auto"/>
              <w:jc w:val="left"/>
              <w:rPr>
                <w:rFonts w:hint="default" w:ascii="Times New Roman" w:hAnsi="Times New Roman" w:cs="Times New Roman"/>
                <w:color w:val="000000" w:themeColor="text1"/>
                <w:kern w:val="0"/>
                <w:sz w:val="24"/>
                <w:szCs w:val="24"/>
                <w14:textFill>
                  <w14:solidFill>
                    <w14:schemeClr w14:val="tx1"/>
                  </w14:solidFill>
                </w14:textFill>
              </w:rPr>
            </w:pPr>
          </w:p>
        </w:tc>
      </w:tr>
      <w:tr w14:paraId="0669AB39">
        <w:tblPrEx>
          <w:tblCellMar>
            <w:top w:w="0" w:type="dxa"/>
            <w:left w:w="108" w:type="dxa"/>
            <w:bottom w:w="0" w:type="dxa"/>
            <w:right w:w="108" w:type="dxa"/>
          </w:tblCellMar>
        </w:tblPrEx>
        <w:trPr>
          <w:trHeight w:val="285" w:hRule="atLeast"/>
        </w:trPr>
        <w:tc>
          <w:tcPr>
            <w:tcW w:w="729" w:type="pct"/>
            <w:tcBorders>
              <w:top w:val="nil"/>
              <w:left w:val="single" w:color="auto" w:sz="4" w:space="0"/>
              <w:bottom w:val="single" w:color="auto" w:sz="4" w:space="0"/>
              <w:right w:val="single" w:color="auto" w:sz="4" w:space="0"/>
            </w:tcBorders>
            <w:shd w:val="clear" w:color="auto" w:fill="auto"/>
            <w:vAlign w:val="bottom"/>
          </w:tcPr>
          <w:p w14:paraId="1813C1BE">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概率保障</w:t>
            </w:r>
          </w:p>
        </w:tc>
        <w:tc>
          <w:tcPr>
            <w:tcW w:w="1020" w:type="pct"/>
            <w:tcBorders>
              <w:top w:val="nil"/>
              <w:left w:val="nil"/>
              <w:bottom w:val="single" w:color="auto" w:sz="4" w:space="0"/>
              <w:right w:val="single" w:color="auto" w:sz="4" w:space="0"/>
            </w:tcBorders>
            <w:shd w:val="clear" w:color="auto" w:fill="auto"/>
            <w:vAlign w:val="bottom"/>
          </w:tcPr>
          <w:p w14:paraId="592BCE5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825" w:type="pct"/>
            <w:tcBorders>
              <w:top w:val="nil"/>
              <w:left w:val="nil"/>
              <w:bottom w:val="single" w:color="auto" w:sz="4" w:space="0"/>
              <w:right w:val="single" w:color="auto" w:sz="4" w:space="0"/>
            </w:tcBorders>
            <w:shd w:val="clear" w:color="auto" w:fill="auto"/>
            <w:vAlign w:val="bottom"/>
          </w:tcPr>
          <w:p w14:paraId="4F03A223">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c>
          <w:tcPr>
            <w:tcW w:w="514" w:type="pct"/>
            <w:tcBorders>
              <w:top w:val="nil"/>
              <w:left w:val="nil"/>
              <w:bottom w:val="single" w:color="auto" w:sz="4" w:space="0"/>
              <w:right w:val="single" w:color="auto" w:sz="4" w:space="0"/>
            </w:tcBorders>
            <w:shd w:val="clear" w:color="auto" w:fill="auto"/>
            <w:vAlign w:val="bottom"/>
          </w:tcPr>
          <w:p w14:paraId="4D49A6DC">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最小值</w:t>
            </w:r>
          </w:p>
        </w:tc>
        <w:tc>
          <w:tcPr>
            <w:tcW w:w="936" w:type="pct"/>
            <w:tcBorders>
              <w:top w:val="nil"/>
              <w:left w:val="nil"/>
              <w:bottom w:val="single" w:color="auto" w:sz="4" w:space="0"/>
              <w:right w:val="single" w:color="auto" w:sz="4" w:space="0"/>
            </w:tcBorders>
            <w:shd w:val="clear" w:color="auto" w:fill="auto"/>
            <w:vAlign w:val="bottom"/>
          </w:tcPr>
          <w:p w14:paraId="291F2D21">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最大值</w:t>
            </w:r>
          </w:p>
        </w:tc>
        <w:tc>
          <w:tcPr>
            <w:tcW w:w="845" w:type="pct"/>
            <w:vMerge w:val="continue"/>
            <w:tcBorders>
              <w:top w:val="nil"/>
              <w:left w:val="single" w:color="auto" w:sz="4" w:space="0"/>
              <w:bottom w:val="single" w:color="000000" w:sz="4" w:space="0"/>
              <w:right w:val="single" w:color="auto" w:sz="4" w:space="0"/>
            </w:tcBorders>
            <w:vAlign w:val="center"/>
          </w:tcPr>
          <w:p w14:paraId="3BBAC7EA">
            <w:pPr>
              <w:widowControl/>
              <w:spacing w:line="360" w:lineRule="auto"/>
              <w:jc w:val="left"/>
              <w:rPr>
                <w:rFonts w:hint="default" w:ascii="Times New Roman" w:hAnsi="Times New Roman" w:cs="Times New Roman"/>
                <w:color w:val="000000" w:themeColor="text1"/>
                <w:kern w:val="0"/>
                <w:sz w:val="21"/>
                <w:szCs w:val="21"/>
                <w14:textFill>
                  <w14:solidFill>
                    <w14:schemeClr w14:val="tx1"/>
                  </w14:solidFill>
                </w14:textFill>
              </w:rPr>
            </w:pPr>
          </w:p>
        </w:tc>
        <w:tc>
          <w:tcPr>
            <w:tcW w:w="130" w:type="pct"/>
            <w:vAlign w:val="center"/>
          </w:tcPr>
          <w:p w14:paraId="2CBDB6C7">
            <w:pPr>
              <w:widowControl/>
              <w:spacing w:line="360" w:lineRule="auto"/>
              <w:jc w:val="left"/>
              <w:rPr>
                <w:rFonts w:hint="default" w:ascii="Times New Roman" w:hAnsi="Times New Roman" w:cs="Times New Roman"/>
                <w:color w:val="000000" w:themeColor="text1"/>
                <w:kern w:val="0"/>
                <w:sz w:val="24"/>
                <w:szCs w:val="24"/>
                <w14:textFill>
                  <w14:solidFill>
                    <w14:schemeClr w14:val="tx1"/>
                  </w14:solidFill>
                </w14:textFill>
              </w:rPr>
            </w:pPr>
          </w:p>
        </w:tc>
      </w:tr>
      <w:tr w14:paraId="72FE540F">
        <w:tblPrEx>
          <w:tblCellMar>
            <w:top w:w="0" w:type="dxa"/>
            <w:left w:w="108" w:type="dxa"/>
            <w:bottom w:w="0" w:type="dxa"/>
            <w:right w:w="108" w:type="dxa"/>
          </w:tblCellMar>
        </w:tblPrEx>
        <w:trPr>
          <w:trHeight w:val="285" w:hRule="atLeast"/>
        </w:trPr>
        <w:tc>
          <w:tcPr>
            <w:tcW w:w="729" w:type="pct"/>
            <w:tcBorders>
              <w:top w:val="nil"/>
              <w:left w:val="single" w:color="auto" w:sz="4" w:space="0"/>
              <w:bottom w:val="single" w:color="auto" w:sz="4" w:space="0"/>
              <w:right w:val="single" w:color="auto" w:sz="4" w:space="0"/>
            </w:tcBorders>
            <w:shd w:val="clear" w:color="auto" w:fill="auto"/>
            <w:vAlign w:val="bottom"/>
          </w:tcPr>
          <w:p w14:paraId="1F921ECC">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95%</w:t>
            </w:r>
          </w:p>
        </w:tc>
        <w:tc>
          <w:tcPr>
            <w:tcW w:w="1020" w:type="pct"/>
            <w:tcBorders>
              <w:top w:val="nil"/>
              <w:left w:val="nil"/>
              <w:bottom w:val="single" w:color="auto" w:sz="4" w:space="0"/>
              <w:right w:val="single" w:color="auto" w:sz="4" w:space="0"/>
            </w:tcBorders>
            <w:shd w:val="clear" w:color="auto" w:fill="auto"/>
            <w:vAlign w:val="bottom"/>
          </w:tcPr>
          <w:p w14:paraId="61FAE76B">
            <w:pPr>
              <w:widowControl/>
              <w:spacing w:line="360" w:lineRule="auto"/>
              <w:jc w:val="cente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0</w:t>
            </w:r>
          </w:p>
        </w:tc>
        <w:tc>
          <w:tcPr>
            <w:tcW w:w="825" w:type="pct"/>
            <w:tcBorders>
              <w:top w:val="nil"/>
              <w:left w:val="nil"/>
              <w:bottom w:val="single" w:color="auto" w:sz="4" w:space="0"/>
              <w:right w:val="single" w:color="auto" w:sz="4" w:space="0"/>
            </w:tcBorders>
            <w:shd w:val="clear" w:color="auto" w:fill="auto"/>
            <w:vAlign w:val="bottom"/>
          </w:tcPr>
          <w:p w14:paraId="5E18B223">
            <w:pPr>
              <w:widowControl/>
              <w:spacing w:line="360" w:lineRule="auto"/>
              <w:jc w:val="cente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p>
        </w:tc>
        <w:tc>
          <w:tcPr>
            <w:tcW w:w="514" w:type="pct"/>
            <w:tcBorders>
              <w:top w:val="nil"/>
              <w:left w:val="nil"/>
              <w:bottom w:val="single" w:color="auto" w:sz="4" w:space="0"/>
              <w:right w:val="single" w:color="auto" w:sz="4" w:space="0"/>
            </w:tcBorders>
            <w:shd w:val="clear" w:color="auto" w:fill="auto"/>
            <w:vAlign w:val="bottom"/>
          </w:tcPr>
          <w:p w14:paraId="4D5C6FE6">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97.68%</w:t>
            </w:r>
          </w:p>
        </w:tc>
        <w:tc>
          <w:tcPr>
            <w:tcW w:w="936" w:type="pct"/>
            <w:tcBorders>
              <w:top w:val="nil"/>
              <w:left w:val="nil"/>
              <w:bottom w:val="single" w:color="auto" w:sz="4" w:space="0"/>
              <w:right w:val="single" w:color="auto" w:sz="4" w:space="0"/>
            </w:tcBorders>
            <w:shd w:val="clear" w:color="auto" w:fill="auto"/>
            <w:vAlign w:val="bottom"/>
          </w:tcPr>
          <w:p w14:paraId="56E1E3CE">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98.10%</w:t>
            </w:r>
          </w:p>
        </w:tc>
        <w:tc>
          <w:tcPr>
            <w:tcW w:w="845" w:type="pct"/>
            <w:tcBorders>
              <w:top w:val="nil"/>
              <w:left w:val="nil"/>
              <w:bottom w:val="single" w:color="auto" w:sz="4" w:space="0"/>
              <w:right w:val="single" w:color="auto" w:sz="4" w:space="0"/>
            </w:tcBorders>
            <w:shd w:val="clear" w:color="auto" w:fill="auto"/>
            <w:vAlign w:val="bottom"/>
          </w:tcPr>
          <w:p w14:paraId="7ADD3987">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32</w:t>
            </w:r>
            <w:r>
              <w:rPr>
                <w:rFonts w:hint="default" w:ascii="Times New Roman" w:hAnsi="Times New Roman" w:cs="Times New Roman"/>
                <w:color w:val="000000" w:themeColor="text1"/>
                <w:kern w:val="0"/>
                <w:sz w:val="21"/>
                <w:szCs w:val="21"/>
                <w14:textFill>
                  <w14:solidFill>
                    <w14:schemeClr w14:val="tx1"/>
                  </w14:solidFill>
                </w14:textFill>
              </w:rPr>
              <w:t>%</w:t>
            </w:r>
          </w:p>
        </w:tc>
        <w:tc>
          <w:tcPr>
            <w:tcW w:w="130" w:type="pct"/>
            <w:vAlign w:val="center"/>
          </w:tcPr>
          <w:p w14:paraId="28079119">
            <w:pPr>
              <w:widowControl/>
              <w:spacing w:line="360" w:lineRule="auto"/>
              <w:jc w:val="left"/>
              <w:rPr>
                <w:rFonts w:hint="default" w:ascii="Times New Roman" w:hAnsi="Times New Roman" w:cs="Times New Roman"/>
                <w:color w:val="000000" w:themeColor="text1"/>
                <w:kern w:val="0"/>
                <w:sz w:val="24"/>
                <w:szCs w:val="24"/>
                <w14:textFill>
                  <w14:solidFill>
                    <w14:schemeClr w14:val="tx1"/>
                  </w14:solidFill>
                </w14:textFill>
              </w:rPr>
            </w:pPr>
          </w:p>
        </w:tc>
      </w:tr>
    </w:tbl>
    <w:p w14:paraId="113D8D32">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关于MNP标记分型重现性和准确性</w:t>
      </w:r>
    </w:p>
    <w:p w14:paraId="5F774DFF">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（1）MNP标记分型准确性高</w:t>
      </w:r>
    </w:p>
    <w:p w14:paraId="06DCF7D7">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由于标记分型真实值与参考值都是未知的，我们</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对57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个随机选择品种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进行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重复性实验（在江汉大学对同一个样品重复做两次实验）</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对5个品种进行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重现性实验（在江汉大学、石家庄博瑞迪公司或崖州湾分子检测鉴定中心</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等5家单位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，对同一个样品做两次实验）来计算MNP标记分型的准确性。从表5可以看出，在比较的</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12414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个MNP标记的重现性实验检测结果中，共有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49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个标记位点分型确定存在差异，比例为0.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%，折算标记分型重现性和准确性分别为99.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61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112F4B4A">
      <w:pPr>
        <w:pStyle w:val="5"/>
        <w:spacing w:line="360" w:lineRule="auto"/>
        <w:ind w:firstLine="480"/>
        <w:jc w:val="center"/>
        <w:rPr>
          <w:rFonts w:hint="eastAsia" w:ascii="黑体" w:hAnsi="黑体" w:eastAsia="黑体" w:cs="黑体"/>
          <w:snapToGrid w:val="0"/>
          <w:color w:val="000000" w:themeColor="text1"/>
          <w:kern w:val="0"/>
          <w:sz w:val="24"/>
          <w14:textFill>
            <w14:solidFill>
              <w14:schemeClr w14:val="tx1"/>
            </w14:solidFill>
          </w14:textFill>
        </w:rPr>
      </w:pPr>
      <w:r>
        <w:rPr>
          <w:rFonts w:hint="eastAsia" w:ascii="黑体" w:hAnsi="黑体" w:eastAsia="黑体" w:cs="黑体"/>
          <w:snapToGrid w:val="0"/>
          <w:color w:val="000000" w:themeColor="text1"/>
          <w:kern w:val="0"/>
          <w:sz w:val="24"/>
          <w14:textFill>
            <w14:solidFill>
              <w14:schemeClr w14:val="tx1"/>
            </w14:solidFill>
          </w14:textFill>
        </w:rPr>
        <w:t>表5 MNP标记在重复性和重现性实验中的分型准确性</w:t>
      </w:r>
    </w:p>
    <w:tbl>
      <w:tblPr>
        <w:tblStyle w:val="12"/>
        <w:tblW w:w="5000" w:type="pct"/>
        <w:tblInd w:w="0" w:type="dxa"/>
        <w:tblLayout w:type="fixed"/>
        <w:tblCellMar>
          <w:top w:w="0" w:type="dxa"/>
          <w:left w:w="108" w:type="dxa"/>
          <w:bottom w:w="0" w:type="dxa"/>
          <w:right w:w="108" w:type="dxa"/>
        </w:tblCellMar>
      </w:tblPr>
      <w:tblGrid>
        <w:gridCol w:w="1095"/>
        <w:gridCol w:w="1098"/>
        <w:gridCol w:w="1467"/>
        <w:gridCol w:w="1142"/>
        <w:gridCol w:w="1261"/>
        <w:gridCol w:w="1278"/>
        <w:gridCol w:w="1181"/>
      </w:tblGrid>
      <w:tr w14:paraId="75788E51">
        <w:tblPrEx>
          <w:tblCellMar>
            <w:top w:w="0" w:type="dxa"/>
            <w:left w:w="108" w:type="dxa"/>
            <w:bottom w:w="0" w:type="dxa"/>
            <w:right w:w="108" w:type="dxa"/>
          </w:tblCellMar>
        </w:tblPrEx>
        <w:trPr>
          <w:trHeight w:val="765" w:hRule="atLeast"/>
        </w:trPr>
        <w:tc>
          <w:tcPr>
            <w:tcW w:w="12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4F4509">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实验类别　</w:t>
            </w:r>
          </w:p>
        </w:tc>
        <w:tc>
          <w:tcPr>
            <w:tcW w:w="860" w:type="pct"/>
            <w:vMerge w:val="restart"/>
            <w:tcBorders>
              <w:top w:val="single" w:color="auto" w:sz="4" w:space="0"/>
              <w:left w:val="nil"/>
              <w:right w:val="single" w:color="auto" w:sz="4" w:space="0"/>
            </w:tcBorders>
            <w:shd w:val="clear" w:color="auto" w:fill="auto"/>
            <w:noWrap/>
            <w:vAlign w:val="center"/>
          </w:tcPr>
          <w:p w14:paraId="7B5AED6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比较的标记位点的数目　</w:t>
            </w:r>
          </w:p>
        </w:tc>
        <w:tc>
          <w:tcPr>
            <w:tcW w:w="1409" w:type="pct"/>
            <w:gridSpan w:val="2"/>
            <w:tcBorders>
              <w:top w:val="single" w:color="auto" w:sz="4" w:space="0"/>
              <w:left w:val="nil"/>
              <w:bottom w:val="single" w:color="auto" w:sz="4" w:space="0"/>
              <w:right w:val="single" w:color="auto" w:sz="4" w:space="0"/>
            </w:tcBorders>
            <w:shd w:val="clear" w:color="auto" w:fill="auto"/>
            <w:noWrap/>
            <w:vAlign w:val="center"/>
          </w:tcPr>
          <w:p w14:paraId="287C85E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基因型确定不同的标记位点　</w:t>
            </w:r>
          </w:p>
        </w:tc>
        <w:tc>
          <w:tcPr>
            <w:tcW w:w="749" w:type="pct"/>
            <w:vMerge w:val="restart"/>
            <w:tcBorders>
              <w:top w:val="single" w:color="auto" w:sz="4" w:space="0"/>
              <w:left w:val="nil"/>
              <w:right w:val="single" w:color="auto" w:sz="4" w:space="0"/>
            </w:tcBorders>
            <w:shd w:val="clear" w:color="auto" w:fill="auto"/>
            <w:noWrap/>
            <w:vAlign w:val="center"/>
          </w:tcPr>
          <w:p w14:paraId="2F6FDD9F">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重现率　</w:t>
            </w:r>
          </w:p>
        </w:tc>
        <w:tc>
          <w:tcPr>
            <w:tcW w:w="692" w:type="pct"/>
            <w:vMerge w:val="restart"/>
            <w:tcBorders>
              <w:top w:val="single" w:color="auto" w:sz="4" w:space="0"/>
              <w:left w:val="nil"/>
              <w:right w:val="single" w:color="auto" w:sz="4" w:space="0"/>
            </w:tcBorders>
            <w:shd w:val="clear" w:color="auto" w:fill="auto"/>
            <w:noWrap/>
            <w:vAlign w:val="center"/>
          </w:tcPr>
          <w:p w14:paraId="6230FBC8">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准确率　</w:t>
            </w:r>
          </w:p>
        </w:tc>
      </w:tr>
      <w:tr w14:paraId="65BB91F9">
        <w:tblPrEx>
          <w:tblCellMar>
            <w:top w:w="0" w:type="dxa"/>
            <w:left w:w="108" w:type="dxa"/>
            <w:bottom w:w="0" w:type="dxa"/>
            <w:right w:w="108" w:type="dxa"/>
          </w:tblCellMar>
        </w:tblPrEx>
        <w:trPr>
          <w:trHeight w:val="285" w:hRule="atLeast"/>
        </w:trPr>
        <w:tc>
          <w:tcPr>
            <w:tcW w:w="642" w:type="pct"/>
            <w:tcBorders>
              <w:top w:val="nil"/>
              <w:left w:val="single" w:color="auto" w:sz="4" w:space="0"/>
              <w:bottom w:val="single" w:color="auto" w:sz="4" w:space="0"/>
              <w:right w:val="single" w:color="auto" w:sz="4" w:space="0"/>
            </w:tcBorders>
            <w:shd w:val="clear" w:color="auto" w:fill="auto"/>
            <w:noWrap/>
            <w:vAlign w:val="center"/>
          </w:tcPr>
          <w:p w14:paraId="43346DCF">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建库</w:t>
            </w:r>
          </w:p>
        </w:tc>
        <w:tc>
          <w:tcPr>
            <w:tcW w:w="644" w:type="pct"/>
            <w:tcBorders>
              <w:top w:val="nil"/>
              <w:left w:val="nil"/>
              <w:bottom w:val="single" w:color="auto" w:sz="4" w:space="0"/>
              <w:right w:val="single" w:color="auto" w:sz="4" w:space="0"/>
            </w:tcBorders>
            <w:shd w:val="clear" w:color="auto" w:fill="auto"/>
            <w:noWrap/>
            <w:vAlign w:val="center"/>
          </w:tcPr>
          <w:p w14:paraId="051B127B">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测序</w:t>
            </w:r>
          </w:p>
        </w:tc>
        <w:tc>
          <w:tcPr>
            <w:tcW w:w="860" w:type="pct"/>
            <w:vMerge w:val="continue"/>
            <w:tcBorders>
              <w:left w:val="nil"/>
              <w:bottom w:val="single" w:color="auto" w:sz="4" w:space="0"/>
              <w:right w:val="single" w:color="auto" w:sz="4" w:space="0"/>
            </w:tcBorders>
            <w:shd w:val="clear" w:color="auto" w:fill="auto"/>
            <w:noWrap/>
            <w:vAlign w:val="center"/>
          </w:tcPr>
          <w:p w14:paraId="6C6F70DE">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670" w:type="pct"/>
            <w:tcBorders>
              <w:top w:val="nil"/>
              <w:left w:val="nil"/>
              <w:bottom w:val="single" w:color="auto" w:sz="4" w:space="0"/>
              <w:right w:val="single" w:color="auto" w:sz="4" w:space="0"/>
            </w:tcBorders>
            <w:shd w:val="clear" w:color="auto" w:fill="auto"/>
            <w:noWrap/>
            <w:vAlign w:val="center"/>
          </w:tcPr>
          <w:p w14:paraId="59F3444E">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数目</w:t>
            </w:r>
          </w:p>
        </w:tc>
        <w:tc>
          <w:tcPr>
            <w:tcW w:w="739" w:type="pct"/>
            <w:tcBorders>
              <w:left w:val="nil"/>
              <w:bottom w:val="single" w:color="auto" w:sz="4" w:space="0"/>
              <w:right w:val="single" w:color="auto" w:sz="4" w:space="0"/>
            </w:tcBorders>
            <w:shd w:val="clear" w:color="auto" w:fill="auto"/>
            <w:noWrap/>
            <w:vAlign w:val="center"/>
          </w:tcPr>
          <w:p w14:paraId="39311E34">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比例</w:t>
            </w:r>
          </w:p>
        </w:tc>
        <w:tc>
          <w:tcPr>
            <w:tcW w:w="749" w:type="pct"/>
            <w:vMerge w:val="continue"/>
            <w:tcBorders>
              <w:left w:val="nil"/>
              <w:bottom w:val="single" w:color="auto" w:sz="4" w:space="0"/>
              <w:right w:val="single" w:color="auto" w:sz="4" w:space="0"/>
            </w:tcBorders>
            <w:shd w:val="clear" w:color="auto" w:fill="auto"/>
            <w:noWrap/>
            <w:vAlign w:val="center"/>
          </w:tcPr>
          <w:p w14:paraId="245FC316">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692" w:type="pct"/>
            <w:vMerge w:val="continue"/>
            <w:tcBorders>
              <w:left w:val="nil"/>
              <w:bottom w:val="single" w:color="auto" w:sz="4" w:space="0"/>
              <w:right w:val="single" w:color="auto" w:sz="4" w:space="0"/>
            </w:tcBorders>
            <w:shd w:val="clear" w:color="auto" w:fill="auto"/>
            <w:noWrap/>
            <w:vAlign w:val="center"/>
          </w:tcPr>
          <w:p w14:paraId="3F215E4D">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r>
      <w:tr w14:paraId="020D6478">
        <w:tblPrEx>
          <w:tblCellMar>
            <w:top w:w="0" w:type="dxa"/>
            <w:left w:w="108" w:type="dxa"/>
            <w:bottom w:w="0" w:type="dxa"/>
            <w:right w:w="108" w:type="dxa"/>
          </w:tblCellMar>
        </w:tblPrEx>
        <w:trPr>
          <w:trHeight w:val="285" w:hRule="atLeast"/>
        </w:trPr>
        <w:tc>
          <w:tcPr>
            <w:tcW w:w="642" w:type="pct"/>
            <w:tcBorders>
              <w:top w:val="nil"/>
              <w:left w:val="single" w:color="auto" w:sz="4" w:space="0"/>
              <w:bottom w:val="single" w:color="auto" w:sz="4" w:space="0"/>
              <w:right w:val="single" w:color="auto" w:sz="4" w:space="0"/>
            </w:tcBorders>
            <w:shd w:val="clear" w:color="auto" w:fill="auto"/>
            <w:noWrap/>
            <w:vAlign w:val="center"/>
          </w:tcPr>
          <w:p w14:paraId="1640ACA4">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重复性实验</w:t>
            </w:r>
          </w:p>
        </w:tc>
        <w:tc>
          <w:tcPr>
            <w:tcW w:w="644" w:type="pct"/>
            <w:tcBorders>
              <w:top w:val="nil"/>
              <w:left w:val="nil"/>
              <w:bottom w:val="single" w:color="auto" w:sz="4" w:space="0"/>
              <w:right w:val="single" w:color="auto" w:sz="4" w:space="0"/>
            </w:tcBorders>
            <w:shd w:val="clear" w:color="auto" w:fill="auto"/>
            <w:noWrap/>
            <w:vAlign w:val="center"/>
          </w:tcPr>
          <w:p w14:paraId="45436E2F">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重复性实验</w:t>
            </w:r>
          </w:p>
        </w:tc>
        <w:tc>
          <w:tcPr>
            <w:tcW w:w="860" w:type="pct"/>
            <w:tcBorders>
              <w:top w:val="nil"/>
              <w:left w:val="nil"/>
              <w:bottom w:val="single" w:color="auto" w:sz="4" w:space="0"/>
              <w:right w:val="single" w:color="auto" w:sz="4" w:space="0"/>
            </w:tcBorders>
            <w:shd w:val="clear" w:color="auto" w:fill="auto"/>
            <w:noWrap/>
            <w:vAlign w:val="center"/>
          </w:tcPr>
          <w:p w14:paraId="4652176E">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33694</w:t>
            </w:r>
          </w:p>
        </w:tc>
        <w:tc>
          <w:tcPr>
            <w:tcW w:w="670" w:type="pct"/>
            <w:tcBorders>
              <w:top w:val="nil"/>
              <w:left w:val="nil"/>
              <w:bottom w:val="single" w:color="auto" w:sz="4" w:space="0"/>
              <w:right w:val="single" w:color="auto" w:sz="4" w:space="0"/>
            </w:tcBorders>
            <w:shd w:val="clear" w:color="auto" w:fill="auto"/>
            <w:noWrap/>
            <w:vAlign w:val="center"/>
          </w:tcPr>
          <w:p w14:paraId="759348D3">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64</w:t>
            </w:r>
          </w:p>
        </w:tc>
        <w:tc>
          <w:tcPr>
            <w:tcW w:w="739" w:type="pct"/>
            <w:tcBorders>
              <w:top w:val="nil"/>
              <w:left w:val="nil"/>
              <w:bottom w:val="single" w:color="auto" w:sz="4" w:space="0"/>
              <w:right w:val="single" w:color="auto" w:sz="4" w:space="0"/>
            </w:tcBorders>
            <w:shd w:val="clear" w:color="auto" w:fill="auto"/>
            <w:noWrap/>
            <w:vAlign w:val="center"/>
          </w:tcPr>
          <w:p w14:paraId="35F862FB">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29</w:t>
            </w:r>
            <w:r>
              <w:rPr>
                <w:rFonts w:hint="default" w:ascii="Times New Roman" w:hAnsi="Times New Roman" w:cs="Times New Roman"/>
                <w:color w:val="000000" w:themeColor="text1"/>
                <w:kern w:val="0"/>
                <w:sz w:val="21"/>
                <w:szCs w:val="21"/>
                <w14:textFill>
                  <w14:solidFill>
                    <w14:schemeClr w14:val="tx1"/>
                  </w14:solidFill>
                </w14:textFill>
              </w:rPr>
              <w:t>%</w:t>
            </w:r>
          </w:p>
        </w:tc>
        <w:tc>
          <w:tcPr>
            <w:tcW w:w="749" w:type="pct"/>
            <w:tcBorders>
              <w:top w:val="nil"/>
              <w:left w:val="nil"/>
              <w:bottom w:val="single" w:color="auto" w:sz="4" w:space="0"/>
              <w:right w:val="single" w:color="auto" w:sz="4" w:space="0"/>
            </w:tcBorders>
            <w:shd w:val="clear" w:color="auto" w:fill="auto"/>
            <w:noWrap/>
            <w:vAlign w:val="center"/>
          </w:tcPr>
          <w:p w14:paraId="44424155">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99.</w:t>
            </w:r>
            <w:r>
              <w:rPr>
                <w:rFonts w:hint="eastAsia" w:ascii="Times New Roman" w:hAnsi="Times New Roman" w:cs="Times New Roman"/>
                <w:color w:val="000000" w:themeColor="text1"/>
                <w:kern w:val="0"/>
                <w:sz w:val="21"/>
                <w:szCs w:val="21"/>
                <w:lang w:val="en-US" w:eastAsia="zh-CN"/>
                <w14:textFill>
                  <w14:solidFill>
                    <w14:schemeClr w14:val="tx1"/>
                  </w14:solidFill>
                </w14:textFill>
              </w:rPr>
              <w:t>81</w:t>
            </w:r>
            <w:r>
              <w:rPr>
                <w:rFonts w:hint="default" w:ascii="Times New Roman" w:hAnsi="Times New Roman" w:cs="Times New Roman"/>
                <w:color w:val="000000" w:themeColor="text1"/>
                <w:kern w:val="0"/>
                <w:sz w:val="21"/>
                <w:szCs w:val="21"/>
                <w14:textFill>
                  <w14:solidFill>
                    <w14:schemeClr w14:val="tx1"/>
                  </w14:solidFill>
                </w14:textFill>
              </w:rPr>
              <w:t>%</w:t>
            </w:r>
          </w:p>
        </w:tc>
        <w:tc>
          <w:tcPr>
            <w:tcW w:w="692" w:type="pct"/>
            <w:tcBorders>
              <w:top w:val="nil"/>
              <w:left w:val="nil"/>
              <w:bottom w:val="single" w:color="auto" w:sz="4" w:space="0"/>
              <w:right w:val="single" w:color="auto" w:sz="4" w:space="0"/>
            </w:tcBorders>
            <w:shd w:val="clear" w:color="auto" w:fill="auto"/>
            <w:noWrap/>
            <w:vAlign w:val="center"/>
          </w:tcPr>
          <w:p w14:paraId="21518F7A">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99.</w:t>
            </w:r>
            <w:r>
              <w:rPr>
                <w:rFonts w:hint="eastAsia" w:ascii="Times New Roman" w:hAnsi="Times New Roman" w:cs="Times New Roman"/>
                <w:color w:val="000000" w:themeColor="text1"/>
                <w:kern w:val="0"/>
                <w:sz w:val="21"/>
                <w:szCs w:val="21"/>
                <w:lang w:val="en-US" w:eastAsia="zh-CN"/>
                <w14:textFill>
                  <w14:solidFill>
                    <w14:schemeClr w14:val="tx1"/>
                  </w14:solidFill>
                </w14:textFill>
              </w:rPr>
              <w:t>91</w:t>
            </w:r>
            <w:r>
              <w:rPr>
                <w:rFonts w:hint="default" w:ascii="Times New Roman" w:hAnsi="Times New Roman" w:cs="Times New Roman"/>
                <w:color w:val="000000" w:themeColor="text1"/>
                <w:kern w:val="0"/>
                <w:sz w:val="21"/>
                <w:szCs w:val="21"/>
                <w14:textFill>
                  <w14:solidFill>
                    <w14:schemeClr w14:val="tx1"/>
                  </w14:solidFill>
                </w14:textFill>
              </w:rPr>
              <w:t>%</w:t>
            </w:r>
          </w:p>
        </w:tc>
      </w:tr>
      <w:tr w14:paraId="2855315A">
        <w:tblPrEx>
          <w:tblCellMar>
            <w:top w:w="0" w:type="dxa"/>
            <w:left w:w="108" w:type="dxa"/>
            <w:bottom w:w="0" w:type="dxa"/>
            <w:right w:w="108" w:type="dxa"/>
          </w:tblCellMar>
        </w:tblPrEx>
        <w:trPr>
          <w:trHeight w:val="285" w:hRule="atLeast"/>
        </w:trPr>
        <w:tc>
          <w:tcPr>
            <w:tcW w:w="642" w:type="pct"/>
            <w:tcBorders>
              <w:top w:val="nil"/>
              <w:left w:val="single" w:color="auto" w:sz="4" w:space="0"/>
              <w:bottom w:val="single" w:color="auto" w:sz="4" w:space="0"/>
              <w:right w:val="single" w:color="auto" w:sz="4" w:space="0"/>
            </w:tcBorders>
            <w:shd w:val="clear" w:color="auto" w:fill="auto"/>
            <w:noWrap/>
            <w:vAlign w:val="center"/>
          </w:tcPr>
          <w:p w14:paraId="67D2CA3B">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重现性实验</w:t>
            </w:r>
          </w:p>
        </w:tc>
        <w:tc>
          <w:tcPr>
            <w:tcW w:w="644" w:type="pct"/>
            <w:tcBorders>
              <w:top w:val="nil"/>
              <w:left w:val="nil"/>
              <w:bottom w:val="single" w:color="auto" w:sz="4" w:space="0"/>
              <w:right w:val="single" w:color="auto" w:sz="4" w:space="0"/>
            </w:tcBorders>
            <w:shd w:val="clear" w:color="auto" w:fill="auto"/>
            <w:noWrap/>
            <w:vAlign w:val="center"/>
          </w:tcPr>
          <w:p w14:paraId="17ACA471">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重现性实验</w:t>
            </w:r>
          </w:p>
        </w:tc>
        <w:tc>
          <w:tcPr>
            <w:tcW w:w="860" w:type="pct"/>
            <w:tcBorders>
              <w:top w:val="nil"/>
              <w:left w:val="nil"/>
              <w:bottom w:val="single" w:color="auto" w:sz="4" w:space="0"/>
              <w:right w:val="single" w:color="auto" w:sz="4" w:space="0"/>
            </w:tcBorders>
            <w:shd w:val="clear" w:color="auto" w:fill="auto"/>
            <w:noWrap/>
            <w:vAlign w:val="center"/>
          </w:tcPr>
          <w:p w14:paraId="03D3B54F">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12414</w:t>
            </w:r>
          </w:p>
        </w:tc>
        <w:tc>
          <w:tcPr>
            <w:tcW w:w="670" w:type="pct"/>
            <w:tcBorders>
              <w:top w:val="nil"/>
              <w:left w:val="nil"/>
              <w:bottom w:val="single" w:color="auto" w:sz="4" w:space="0"/>
              <w:right w:val="single" w:color="auto" w:sz="4" w:space="0"/>
            </w:tcBorders>
            <w:shd w:val="clear" w:color="auto" w:fill="auto"/>
            <w:noWrap/>
            <w:vAlign w:val="center"/>
          </w:tcPr>
          <w:p w14:paraId="6B3C47DC">
            <w:pPr>
              <w:widowControl/>
              <w:spacing w:line="360" w:lineRule="auto"/>
              <w:jc w:val="cente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49</w:t>
            </w:r>
          </w:p>
        </w:tc>
        <w:tc>
          <w:tcPr>
            <w:tcW w:w="739" w:type="pct"/>
            <w:tcBorders>
              <w:top w:val="nil"/>
              <w:left w:val="nil"/>
              <w:bottom w:val="single" w:color="auto" w:sz="4" w:space="0"/>
              <w:right w:val="single" w:color="auto" w:sz="4" w:space="0"/>
            </w:tcBorders>
            <w:shd w:val="clear" w:color="auto" w:fill="auto"/>
            <w:noWrap/>
            <w:vAlign w:val="center"/>
          </w:tcPr>
          <w:p w14:paraId="16ABD5BF">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37</w:t>
            </w:r>
            <w:r>
              <w:rPr>
                <w:rFonts w:hint="default" w:ascii="Times New Roman" w:hAnsi="Times New Roman" w:cs="Times New Roman"/>
                <w:color w:val="000000" w:themeColor="text1"/>
                <w:kern w:val="0"/>
                <w:sz w:val="21"/>
                <w:szCs w:val="21"/>
                <w14:textFill>
                  <w14:solidFill>
                    <w14:schemeClr w14:val="tx1"/>
                  </w14:solidFill>
                </w14:textFill>
              </w:rPr>
              <w:t>%</w:t>
            </w:r>
          </w:p>
        </w:tc>
        <w:tc>
          <w:tcPr>
            <w:tcW w:w="749" w:type="pct"/>
            <w:tcBorders>
              <w:top w:val="nil"/>
              <w:left w:val="nil"/>
              <w:bottom w:val="single" w:color="auto" w:sz="4" w:space="0"/>
              <w:right w:val="single" w:color="auto" w:sz="4" w:space="0"/>
            </w:tcBorders>
            <w:shd w:val="clear" w:color="auto" w:fill="auto"/>
            <w:noWrap/>
            <w:vAlign w:val="center"/>
          </w:tcPr>
          <w:p w14:paraId="5DE7DF81">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bookmarkStart w:id="12" w:name="_Hlk111033323"/>
            <w:r>
              <w:rPr>
                <w:rFonts w:hint="default" w:ascii="Times New Roman" w:hAnsi="Times New Roman" w:cs="Times New Roman"/>
                <w:color w:val="000000" w:themeColor="text1"/>
                <w:kern w:val="0"/>
                <w:sz w:val="21"/>
                <w:szCs w:val="21"/>
                <w14:textFill>
                  <w14:solidFill>
                    <w14:schemeClr w14:val="tx1"/>
                  </w14:solidFill>
                </w14:textFill>
              </w:rPr>
              <w:t>99.</w:t>
            </w:r>
            <w:r>
              <w:rPr>
                <w:rFonts w:hint="eastAsia" w:ascii="Times New Roman" w:hAnsi="Times New Roman" w:cs="Times New Roman"/>
                <w:color w:val="000000" w:themeColor="text1"/>
                <w:kern w:val="0"/>
                <w:sz w:val="21"/>
                <w:szCs w:val="21"/>
                <w:lang w:val="en-US" w:eastAsia="zh-CN"/>
                <w14:textFill>
                  <w14:solidFill>
                    <w14:schemeClr w14:val="tx1"/>
                  </w14:solidFill>
                </w14:textFill>
              </w:rPr>
              <w:t>61</w:t>
            </w:r>
            <w:r>
              <w:rPr>
                <w:rFonts w:hint="default" w:ascii="Times New Roman" w:hAnsi="Times New Roman" w:cs="Times New Roman"/>
                <w:color w:val="000000" w:themeColor="text1"/>
                <w:kern w:val="0"/>
                <w:sz w:val="21"/>
                <w:szCs w:val="21"/>
                <w14:textFill>
                  <w14:solidFill>
                    <w14:schemeClr w14:val="tx1"/>
                  </w14:solidFill>
                </w14:textFill>
              </w:rPr>
              <w:t>%</w:t>
            </w:r>
            <w:bookmarkEnd w:id="12"/>
          </w:p>
        </w:tc>
        <w:tc>
          <w:tcPr>
            <w:tcW w:w="692" w:type="pct"/>
            <w:tcBorders>
              <w:top w:val="nil"/>
              <w:left w:val="nil"/>
              <w:bottom w:val="single" w:color="auto" w:sz="4" w:space="0"/>
              <w:right w:val="single" w:color="auto" w:sz="4" w:space="0"/>
            </w:tcBorders>
            <w:shd w:val="clear" w:color="auto" w:fill="auto"/>
            <w:noWrap/>
            <w:vAlign w:val="center"/>
          </w:tcPr>
          <w:p w14:paraId="7A8BCD89">
            <w:pPr>
              <w:widowControl/>
              <w:spacing w:line="360" w:lineRule="auto"/>
              <w:jc w:val="center"/>
              <w:rPr>
                <w:rFonts w:hint="default" w:ascii="Times New Roman" w:hAnsi="Times New Roman" w:cs="Times New Roman"/>
                <w:color w:val="000000" w:themeColor="text1"/>
                <w:kern w:val="0"/>
                <w:sz w:val="21"/>
                <w:szCs w:val="21"/>
                <w14:textFill>
                  <w14:solidFill>
                    <w14:schemeClr w14:val="tx1"/>
                  </w14:solidFill>
                </w14:textFill>
              </w:rPr>
            </w:pPr>
            <w:bookmarkStart w:id="13" w:name="_Hlk111033331"/>
            <w:r>
              <w:rPr>
                <w:rFonts w:hint="default" w:ascii="Times New Roman" w:hAnsi="Times New Roman" w:cs="Times New Roman"/>
                <w:color w:val="000000" w:themeColor="text1"/>
                <w:kern w:val="0"/>
                <w:sz w:val="21"/>
                <w:szCs w:val="21"/>
                <w14:textFill>
                  <w14:solidFill>
                    <w14:schemeClr w14:val="tx1"/>
                  </w14:solidFill>
                </w14:textFill>
              </w:rPr>
              <w:t>99.</w:t>
            </w:r>
            <w:r>
              <w:rPr>
                <w:rFonts w:hint="eastAsia" w:ascii="Times New Roman" w:hAnsi="Times New Roman" w:cs="Times New Roman"/>
                <w:color w:val="000000" w:themeColor="text1"/>
                <w:kern w:val="0"/>
                <w:sz w:val="21"/>
                <w:szCs w:val="21"/>
                <w:lang w:val="en-US" w:eastAsia="zh-CN"/>
                <w14:textFill>
                  <w14:solidFill>
                    <w14:schemeClr w14:val="tx1"/>
                  </w14:solidFill>
                </w14:textFill>
              </w:rPr>
              <w:t>80</w:t>
            </w:r>
            <w:r>
              <w:rPr>
                <w:rFonts w:hint="default" w:ascii="Times New Roman" w:hAnsi="Times New Roman" w:cs="Times New Roman"/>
                <w:color w:val="000000" w:themeColor="text1"/>
                <w:kern w:val="0"/>
                <w:sz w:val="21"/>
                <w:szCs w:val="21"/>
                <w14:textFill>
                  <w14:solidFill>
                    <w14:schemeClr w14:val="tx1"/>
                  </w14:solidFill>
                </w14:textFill>
              </w:rPr>
              <w:t>%</w:t>
            </w:r>
            <w:bookmarkEnd w:id="13"/>
          </w:p>
        </w:tc>
      </w:tr>
    </w:tbl>
    <w:p w14:paraId="75139AC9">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（2）高度精准的分型结果为鉴定结论重现性和推广应用提供了有效保障</w:t>
      </w:r>
    </w:p>
    <w:p w14:paraId="30544A9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本标准规定鉴定每个品种检测</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个MNP标记位点，那么在一次鉴定中，分型错误的标记位点不超过</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×（1-99.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0.28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个，其对遗传相似系数的影响仅为0.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%，基本可以忽略。不同实验室鉴定同一个品种，其分型不可重现的标记位点数量为2×</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×（1-99.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1.24</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个，其对遗传相似系数的影响仅为0.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40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%，对不同实验室鉴定结论重现性的影响也</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可忽略</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311B98C3">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.关于MNP标记的多态性　　</w:t>
      </w:r>
    </w:p>
    <w:p w14:paraId="28D13B02">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DNA标记组合的核心功能是品种鉴定，而DNA标记多态性越高，品种区分能力就越强。我们</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在77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中</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统计</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标准所用310个</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MNP标记的等位基因型数量</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MNP标记的等位基因型平均值为18.14±11.08；每个标记的PIC值范围为0.57-0.99，平均值为0.91±0.07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，表明MNP标记多态性高。</w:t>
      </w:r>
    </w:p>
    <w:p w14:paraId="67EA3C0A">
      <w:pPr>
        <w:pStyle w:val="5"/>
        <w:spacing w:line="360" w:lineRule="auto"/>
        <w:ind w:firstLine="48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drawing>
          <wp:inline distT="0" distB="0" distL="114300" distR="114300">
            <wp:extent cx="4826000" cy="2743200"/>
            <wp:effectExtent l="4445" t="4445" r="8255" b="825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83ADA6">
      <w:pPr>
        <w:pStyle w:val="5"/>
        <w:spacing w:line="360" w:lineRule="auto"/>
        <w:ind w:firstLine="480"/>
        <w:jc w:val="cente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 xml:space="preserve">图6 </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品种MNP标记的等位基因型数量</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分布</w:t>
      </w:r>
    </w:p>
    <w:p w14:paraId="6798DE0B">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1</w:t>
      </w: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关于MNP标记法的品种区分能力</w:t>
      </w:r>
    </w:p>
    <w:p w14:paraId="3A05EC93">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DNA标记最终目的是用于品种区分，其一是要求DNA标记多态性高，二是实质性派生品种鉴定中要求DNA标记数量多。</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通过上述的分析表明本标准所用的310个标记具有高准确性和多态性，</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可以用于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品种和</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实质性派生品种鉴定。</w:t>
      </w:r>
    </w:p>
    <w:p w14:paraId="0CFAFFAB">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bookmarkStart w:id="14" w:name="_Hlk143678179"/>
      <w:r>
        <w:rPr>
          <w:rFonts w:hint="default" w:ascii="Times New Roman" w:hAnsi="Times New Roman" w:cs="Times New Roman" w:eastAsiaTheme="minorEastAsia"/>
          <w:snapToGrid w:val="0"/>
          <w:color w:val="000000" w:themeColor="text1"/>
          <w:kern w:val="0"/>
          <w:sz w:val="24"/>
          <w14:textFill>
            <w14:solidFill>
              <w14:schemeClr w14:val="tx1"/>
            </w14:solidFill>
          </w14:textFill>
        </w:rPr>
        <w:t>江汉大学采用本标准检测</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份</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地方品种和授权品种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）的DNA指纹。将这</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个品种进行两两组合，共获得</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2926</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对品种组合，计算每一对品种组合的遗传相似系数。结果表明，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品种间平均差异273个MNP标记，品种间遗传差异平均达90.89%。整体看</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2917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（占比99.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69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%）对品种间遗传相似系数低于96%，判定为不同品种；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对品种的遗传相似系数高于96%，占比仅为0.</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且这9对品种都为芽变品种；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表明MNP标记法具有很强的品种区分能力</w:t>
      </w:r>
      <w:bookmarkEnd w:id="14"/>
      <w:r>
        <w:rPr>
          <w:rFonts w:hint="default" w:ascii="Times New Roman" w:hAnsi="Times New Roman" w:cs="Times New Roman" w:eastAsiaTheme="minorEastAsia"/>
          <w:snapToGrid w:val="0"/>
          <w:color w:val="000000" w:themeColor="text1"/>
          <w:kern w:val="0"/>
          <w:sz w:val="24"/>
          <w14:textFill>
            <w14:solidFill>
              <w14:schemeClr w14:val="tx1"/>
            </w14:solidFill>
          </w14:textFill>
        </w:rPr>
        <w:t>（见图7）。</w:t>
      </w:r>
    </w:p>
    <w:p w14:paraId="09910B77">
      <w:pPr>
        <w:pStyle w:val="5"/>
        <w:spacing w:line="360" w:lineRule="auto"/>
        <w:ind w:firstLine="480"/>
        <w:rPr>
          <w:rFonts w:hint="default" w:ascii="Times New Roman" w:hAnsi="Times New Roman" w:cs="Times New Roman"/>
          <w:snapToGrid w:val="0"/>
          <w:color w:val="000000" w:themeColor="text1"/>
          <w:kern w:val="0"/>
          <w:sz w:val="24"/>
          <w14:textFill>
            <w14:solidFill>
              <w14:schemeClr w14:val="tx1"/>
            </w14:solidFill>
          </w14:textFill>
        </w:rPr>
      </w:pPr>
      <w:r>
        <w:drawing>
          <wp:inline distT="0" distB="0" distL="114300" distR="114300">
            <wp:extent cx="4814570" cy="2927350"/>
            <wp:effectExtent l="4445" t="4445" r="698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4AD750">
      <w:pPr>
        <w:spacing w:line="360" w:lineRule="auto"/>
        <w:ind w:firstLine="480" w:firstLineChars="200"/>
        <w:jc w:val="center"/>
        <w:rPr>
          <w:rFonts w:hint="default" w:ascii="Times New Roman" w:hAnsi="Times New Roman" w:cs="Times New Roman"/>
          <w:snapToGrid w:val="0"/>
          <w:color w:val="000000" w:themeColor="text1"/>
          <w:kern w:val="0"/>
          <w:sz w:val="24"/>
          <w14:textFill>
            <w14:solidFill>
              <w14:schemeClr w14:val="tx1"/>
            </w14:solidFill>
          </w14:textFill>
        </w:rPr>
      </w:pPr>
      <w:r>
        <w:rPr>
          <w:rFonts w:hint="default" w:ascii="Times New Roman" w:hAnsi="Times New Roman" w:cs="Times New Roman"/>
          <w:snapToGrid w:val="0"/>
          <w:color w:val="000000" w:themeColor="text1"/>
          <w:kern w:val="0"/>
          <w:sz w:val="24"/>
          <w14:textFill>
            <w14:solidFill>
              <w14:schemeClr w14:val="tx1"/>
            </w14:solidFill>
          </w14:textFill>
        </w:rPr>
        <w:t xml:space="preserve">图7 </w:t>
      </w:r>
      <w:r>
        <w:rPr>
          <w:rFonts w:hint="eastAsia" w:ascii="Times New Roman" w:hAnsi="Times New Roman" w:cs="Times New Roman"/>
          <w:snapToGrid w:val="0"/>
          <w:color w:val="000000" w:themeColor="text1"/>
          <w:kern w:val="0"/>
          <w:sz w:val="24"/>
          <w:lang w:val="en-US" w:eastAsia="zh-CN"/>
          <w14:textFill>
            <w14:solidFill>
              <w14:schemeClr w14:val="tx1"/>
            </w14:solidFill>
          </w14:textFill>
        </w:rPr>
        <w:t xml:space="preserve"> </w:t>
      </w:r>
      <w:r>
        <w:rPr>
          <w:rFonts w:hint="eastAsia" w:ascii="Times New Roman" w:cs="Times New Roman"/>
          <w:snapToGrid w:val="0"/>
          <w:color w:val="000000" w:themeColor="text1"/>
          <w:kern w:val="0"/>
          <w:sz w:val="24"/>
          <w:lang w:val="en-US" w:eastAsia="zh-CN"/>
          <w14:textFill>
            <w14:solidFill>
              <w14:schemeClr w14:val="tx1"/>
            </w14:solidFill>
          </w14:textFill>
        </w:rPr>
        <w:t>2926</w:t>
      </w:r>
      <w:r>
        <w:rPr>
          <w:rFonts w:hint="default" w:ascii="Times New Roman" w:hAnsi="Times New Roman" w:cs="Times New Roman"/>
          <w:snapToGrid w:val="0"/>
          <w:color w:val="000000" w:themeColor="text1"/>
          <w:kern w:val="0"/>
          <w:sz w:val="24"/>
          <w14:textFill>
            <w14:solidFill>
              <w14:schemeClr w14:val="tx1"/>
            </w14:solidFill>
          </w14:textFill>
        </w:rPr>
        <w:t>对</w:t>
      </w:r>
      <w:r>
        <w:rPr>
          <w:rFonts w:hint="eastAsia" w:ascii="Times New Roman" w:hAnsi="Times New Roman" w:cs="Times New Roman"/>
          <w:snapToGrid w:val="0"/>
          <w:color w:val="000000" w:themeColor="text1"/>
          <w:kern w:val="0"/>
          <w:sz w:val="24"/>
          <w:lang w:eastAsia="zh-CN"/>
          <w14:textFill>
            <w14:solidFill>
              <w14:schemeClr w14:val="tx1"/>
            </w14:solidFill>
          </w14:textFill>
        </w:rPr>
        <w:t>梨</w:t>
      </w:r>
      <w:r>
        <w:rPr>
          <w:rFonts w:hint="default" w:ascii="Times New Roman" w:hAnsi="Times New Roman" w:cs="Times New Roman"/>
          <w:snapToGrid w:val="0"/>
          <w:color w:val="000000" w:themeColor="text1"/>
          <w:kern w:val="0"/>
          <w:sz w:val="24"/>
          <w14:textFill>
            <w14:solidFill>
              <w14:schemeClr w14:val="tx1"/>
            </w14:solidFill>
          </w14:textFill>
        </w:rPr>
        <w:t>品种间</w:t>
      </w:r>
      <w:r>
        <w:rPr>
          <w:rFonts w:hint="eastAsia" w:ascii="Times New Roman" w:hAnsi="Times New Roman" w:cs="Times New Roman"/>
          <w:snapToGrid w:val="0"/>
          <w:color w:val="000000" w:themeColor="text1"/>
          <w:kern w:val="0"/>
          <w:sz w:val="24"/>
          <w:lang w:val="en-US" w:eastAsia="zh-CN"/>
          <w14:textFill>
            <w14:solidFill>
              <w14:schemeClr w14:val="tx1"/>
            </w14:solidFill>
          </w14:textFill>
        </w:rPr>
        <w:t>MNP标记差异</w:t>
      </w:r>
      <w:r>
        <w:rPr>
          <w:rFonts w:hint="default" w:ascii="Times New Roman" w:hAnsi="Times New Roman" w:cs="Times New Roman"/>
          <w:snapToGrid w:val="0"/>
          <w:color w:val="000000" w:themeColor="text1"/>
          <w:kern w:val="0"/>
          <w:sz w:val="24"/>
          <w14:textFill>
            <w14:solidFill>
              <w14:schemeClr w14:val="tx1"/>
            </w14:solidFill>
          </w14:textFill>
        </w:rPr>
        <w:t>分布</w:t>
      </w:r>
    </w:p>
    <w:p w14:paraId="5DC42B61">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1</w:t>
      </w: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.关于</w:t>
      </w:r>
      <w:bookmarkStart w:id="15" w:name="_Hlk143678506"/>
      <w:r>
        <w:rPr>
          <w:rFonts w:hint="eastAsia" w:ascii="Times New Roman" w:cs="Times New Roman" w:eastAsiaTheme="minorEastAsia"/>
          <w:b/>
          <w:bCs/>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实质性派生品种的判定阈值</w:t>
      </w:r>
      <w:bookmarkEnd w:id="15"/>
    </w:p>
    <w:p w14:paraId="43CAC5FD">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本标准将遗传相似度（</w:t>
      </w:r>
      <w:r>
        <w:rPr>
          <w:rFonts w:hint="default" w:ascii="Times New Roman" w:hAnsi="Times New Roman" w:cs="Times New Roman" w:eastAsiaTheme="minorEastAsia"/>
          <w:i/>
          <w:iCs/>
          <w:snapToGrid w:val="0"/>
          <w:color w:val="000000" w:themeColor="text1"/>
          <w:kern w:val="0"/>
          <w:sz w:val="24"/>
          <w14:textFill>
            <w14:solidFill>
              <w14:schemeClr w14:val="tx1"/>
            </w14:solidFill>
          </w14:textFill>
        </w:rPr>
        <w:t>GS</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）大于或等于9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%的品种判定为“待测品种与对照品种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为</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疑似实质性派生</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”，其依据与相关重要说明如下。</w:t>
      </w:r>
    </w:p>
    <w:p w14:paraId="454867DD">
      <w:pPr>
        <w:pStyle w:val="5"/>
        <w:tabs>
          <w:tab w:val="left" w:pos="1560"/>
        </w:tabs>
        <w:spacing w:line="360" w:lineRule="auto"/>
        <w:ind w:firstLineChars="0"/>
        <w:rPr>
          <w:rFonts w:hint="default" w:ascii="Times New Roman" w:hAnsi="Times New Roman" w:cs="Times New Roman" w:eastAsiaTheme="minorEastAsia"/>
          <w:b/>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（1）根据发表文献中的实质性派生品种判定阈值制定方法，</w:t>
      </w:r>
      <w:r>
        <w:rPr>
          <w:rFonts w:hint="eastAsia" w:ascii="Times New Roman" w:cs="Times New Roman" w:eastAsiaTheme="minorEastAsia"/>
          <w:b/>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实质性派生品种的判定阈值应该介于</w:t>
      </w:r>
      <w:r>
        <w:rPr>
          <w:rFonts w:hint="eastAsia" w:ascii="Times New Roman" w:cs="Times New Roman" w:eastAsiaTheme="minorEastAsia"/>
          <w:b/>
          <w:snapToGrid w:val="0"/>
          <w:color w:val="000000" w:themeColor="text1"/>
          <w:kern w:val="0"/>
          <w:sz w:val="24"/>
          <w:lang w:val="en-US" w:eastAsia="zh-CN"/>
          <w14:textFill>
            <w14:solidFill>
              <w14:schemeClr w14:val="tx1"/>
            </w14:solidFill>
          </w14:textFill>
        </w:rPr>
        <w:t>89.97</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%到9</w:t>
      </w:r>
      <w:r>
        <w:rPr>
          <w:rFonts w:hint="eastAsia" w:ascii="Times New Roman" w:cs="Times New Roman" w:eastAsiaTheme="minorEastAsia"/>
          <w:b/>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.7</w:t>
      </w:r>
      <w:r>
        <w:rPr>
          <w:rFonts w:hint="eastAsia" w:ascii="Times New Roman" w:cs="Times New Roman" w:eastAsiaTheme="minorEastAsia"/>
          <w:b/>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%之间</w:t>
      </w:r>
    </w:p>
    <w:p w14:paraId="2AB290A7">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Enrico Noli等于2013年在《Plant breeding》杂志上发表了题为《Criteria for the Definition of Similarity Thresholds for Identifying Essentially Derived Varieties》的论文。作者在该论文中总结了制定实质性派生品种阈值的方法。一种是“校对规则”（calibration principle），第二种是“尾巴规则”（tail principle），第三种是“血缘原则”（pedigree principle）。“尾巴规则”是利用非实质性派生品种间的距离分布的百分位数作为实质性派生品种的判定总阈值，该方法实际上是将实质性派生品种的问题转化为了非实质性派生品种的问题，而目前并没有客观的办法来确定文献中要求的距离适中的非实质性派生品种，因此，利用该方法确定实质性派生品种判定阈值依旧具有较强的个人主观性。“血缘原则”要求事先确定一个实质性派生品种判定的血缘阈值，再根据血缘阈值判定实质性派生品种，该方法实质上是将确定实质性派生品种判定阈值在概念上转化为了确定血缘阈值，而确定血缘阈值依旧是主观的，客观上同样没有良好的可操作性。另外，“血缘原则”没有考虑亲本间遗传距离这一重要因素，也显然是不合理的。</w:t>
      </w:r>
    </w:p>
    <w:p w14:paraId="15F854F5">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bookmarkStart w:id="16" w:name="OLE_LINK3"/>
      <w:r>
        <w:rPr>
          <w:rFonts w:hint="default" w:ascii="Times New Roman" w:hAnsi="Times New Roman" w:cs="Times New Roman" w:eastAsiaTheme="minorEastAsia"/>
          <w:snapToGrid w:val="0"/>
          <w:color w:val="000000" w:themeColor="text1"/>
          <w:kern w:val="0"/>
          <w:sz w:val="24"/>
          <w14:textFill>
            <w14:solidFill>
              <w14:schemeClr w14:val="tx1"/>
            </w14:solidFill>
          </w14:textFill>
        </w:rPr>
        <w:t>“校对规则”</w:t>
      </w:r>
      <w:bookmarkEnd w:id="16"/>
      <w:r>
        <w:rPr>
          <w:rFonts w:hint="default" w:ascii="Times New Roman" w:hAnsi="Times New Roman" w:cs="Times New Roman" w:eastAsiaTheme="minorEastAsia"/>
          <w:snapToGrid w:val="0"/>
          <w:color w:val="000000" w:themeColor="text1"/>
          <w:kern w:val="0"/>
          <w:sz w:val="24"/>
          <w14:textFill>
            <w14:solidFill>
              <w14:schemeClr w14:val="tx1"/>
            </w14:solidFill>
          </w14:textFill>
        </w:rPr>
        <w:t>要求实质性派生品种判定阈值将实质性派生育种行为和非实质性派生育种行为产生的品种分别判定为实质性派生品种和非实质性派生品种，而实质性派生品种育种行为和非实质性派生品种育种行为在UPOV中已有较明确的描述，是一种客观的，可以操作的方法。例如，Vosman等于2004年首先利用AFLP技术探讨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月季</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品种的实质性派生品种判定阈值。在Vosman的实验中，检测了83对</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月季</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其中包括独立品种（非实质性派生品种）和突变品种（实质性派生品种），结果表明，独立品种和它们的突变体（实质性派生品种）间的遗传相似系数大于96%，而独立品种间（非实质性派生品种间）的遗传相似系数小于80%。因此，在该实例中，实质性派生品种的判定阈值可以在80%-96%之间选择，具体值需要综合考虑该国育种现状、行业共识、创新要求等因素。</w:t>
      </w:r>
    </w:p>
    <w:p w14:paraId="30AC3EE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由于采用“校对规则”制定实质性派生品种判定阈值具有客观性和可操作性，本标准采用“校对规则”来确定实质性派生品种的判定阈值。利用校对规则，</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并结合二项式分布统计理论分析和</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56</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个育种实例的结果，推断</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实质性派生品种的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判定阈值</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应设置在8</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97</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%到9</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.7</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%之间，</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以实现在99%的概率保障下，将容易产生实质性派生品种的育种行为（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自然突变、</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诱变等）的育成品种判定为实质性派生品种，同时将不容易产生实质性派生品种的育种行为（正常杂交选育）的育成品种判定为非实质性派生品种</w:t>
      </w:r>
    </w:p>
    <w:p w14:paraId="1611C226">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a）按照“校对规则”，实质性派生品种判定阈值的下限为88.20%</w:t>
      </w:r>
    </w:p>
    <w:p w14:paraId="37EAAE29">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UPOV认为，正常杂交选育为非实质性派生品种育种行为。根据UPOV在2021年11月19日发布的文件《EXPLANATORY NOTES ON ESSENTIALLY DERIVED VARIETIES UNDER THE 1991 ACT OF THE UPOV CONVENTION》（UPOV/EXN/EDV/3 Draft 3），正常杂交选育指表型和遗传上均不相同的两个亲本杂交后，以创造分离群体为选择目的育种行为。该定义有两个要点，一是亲本间要有一定的遗传距离，不能选用遗传上近似的品种进行杂交，二是选育时要以创新分离群体为目的，不能有意选择与亲本相似的后代。由于正常杂交选育为非实质性派生品种育种行为，因此，可以根据校对规则，获得</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实质性派生品种判定阈值的下限。</w:t>
      </w:r>
    </w:p>
    <w:p w14:paraId="4BE13C2B">
      <w:pPr>
        <w:pStyle w:val="5"/>
        <w:spacing w:line="360" w:lineRule="auto"/>
        <w:ind w:firstLine="482"/>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实质性派生品种判定阈值下限的理论推断。</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利用本标准检测了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品种，任意两个</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品种之间的平均遗传差异为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90.89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%，那么，在本标准检测的</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个标记位点中，它们之间有</w:t>
      </w:r>
      <m:oMath>
        <m:r>
          <m:rPr/>
          <w:rPr>
            <w:rFonts w:hint="default" w:ascii="Cambria Math" w:cs="Times New Roman" w:eastAsiaTheme="minorEastAsia"/>
            <w:snapToGrid w:val="0"/>
            <w:color w:val="000000" w:themeColor="text1"/>
            <w:kern w:val="0"/>
            <w:sz w:val="24"/>
            <w:lang w:val="en-US" w:eastAsia="zh-CN"/>
            <w14:textFill>
              <w14:solidFill>
                <w14:schemeClr w14:val="tx1"/>
              </w14:solidFill>
            </w14:textFill>
          </w:rPr>
          <m:t>310</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90.89</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281.8</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个差异标记位点；设实质性派生品种的遗传相似系数判定阈值为</w:t>
      </w:r>
      <m:oMath>
        <m:r>
          <m:rPr/>
          <w:rPr>
            <w:rFonts w:hint="default" w:ascii="Cambria Math" w:hAnsi="Cambria Math" w:cs="Times New Roman" w:eastAsiaTheme="minorEastAsia"/>
            <w:snapToGrid w:val="0"/>
            <w:color w:val="000000" w:themeColor="text1"/>
            <w:kern w:val="0"/>
            <w:sz w:val="24"/>
            <w14:textFill>
              <w14:solidFill>
                <w14:schemeClr w14:val="tx1"/>
              </w14:solidFill>
            </w14:textFill>
          </w:rPr>
          <m:t>x</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，那么，当后代与亲本的差异位点数量小于</w:t>
      </w:r>
      <m:oMath>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310</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d>
          <m:d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d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1</m:t>
            </m:r>
            <m:r>
              <m:rPr/>
              <w:rPr>
                <w:rFonts w:hint="default" w:ascii="Cambria Math" w:hAnsi="Cambria Math" w:eastAsia="微软雅黑" w:cs="Times New Roman"/>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x</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d>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，后代将被判定为实质性派生品种；在正常杂交选育模式下，差异标记在亲本与后代间是否相同服从于实验次为</w:t>
      </w:r>
      <m:oMath>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281.8</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次，发生频率为50%的二项分布；按二项分布计算正常杂交选育模式下，</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品种杂交后代为非实质性派生品种的平均概率</w:t>
      </w:r>
      <m:oMath>
        <m:r>
          <m:rPr/>
          <w:rPr>
            <w:rFonts w:hint="default" w:ascii="Cambria Math" w:hAnsi="Cambria Math" w:cs="Times New Roman"/>
            <w:snapToGrid w:val="0"/>
            <w:color w:val="000000" w:themeColor="text1"/>
            <w:kern w:val="0"/>
            <w:sz w:val="24"/>
            <w14:textFill>
              <w14:solidFill>
                <w14:schemeClr w14:val="tx1"/>
              </w14:solidFill>
            </w14:textFill>
          </w:rPr>
          <m:t>p=1−</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BINOM.DIST(</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310</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d>
          <m:dP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dPr>
          <m:e>
            <m:r>
              <m:rPr/>
              <w:rPr>
                <w:rFonts w:hint="default" w:ascii="Cambria Math" w:hAnsi="Cambria Math" w:cs="Times New Roman" w:eastAsiaTheme="minorEastAsia"/>
                <w:snapToGrid w:val="0"/>
                <w:color w:val="000000" w:themeColor="text1"/>
                <w:kern w:val="0"/>
                <w:sz w:val="24"/>
                <w14:textFill>
                  <w14:solidFill>
                    <w14:schemeClr w14:val="tx1"/>
                  </w14:solidFill>
                </w14:textFill>
              </w:rPr>
              <m:t>1</m:t>
            </m:r>
            <m:r>
              <m:rPr/>
              <w:rPr>
                <w:rFonts w:hint="default" w:ascii="Cambria Math" w:hAnsi="Cambria Math" w:eastAsia="微软雅黑" w:cs="Times New Roman"/>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x</m:t>
            </m:r>
            <m:ctrlPr>
              <w:rPr>
                <w:rFonts w:hint="default" w:ascii="Cambria Math" w:hAnsi="Cambria Math" w:cs="Times New Roman" w:eastAsiaTheme="minorEastAsia"/>
                <w:i/>
                <w:snapToGrid w:val="0"/>
                <w:color w:val="000000" w:themeColor="text1"/>
                <w:kern w:val="0"/>
                <w:sz w:val="24"/>
                <w14:textFill>
                  <w14:solidFill>
                    <w14:schemeClr w14:val="tx1"/>
                  </w14:solidFill>
                </w14:textFill>
              </w:rPr>
            </m:ctrlPr>
          </m:e>
        </m:d>
        <m:r>
          <m:rPr/>
          <w:rPr>
            <w:rFonts w:hint="default" w:ascii="Cambria Math" w:hAnsi="Cambria Math" w:cs="Times New Roman" w:eastAsiaTheme="minorEastAsia"/>
            <w:snapToGrid w:val="0"/>
            <w:color w:val="000000" w:themeColor="text1"/>
            <w:kern w:val="0"/>
            <w:sz w:val="24"/>
            <w14:textFill>
              <w14:solidFill>
                <w14:schemeClr w14:val="tx1"/>
              </w14:solidFill>
            </w14:textFill>
          </w:rPr>
          <m:t>,</m:t>
        </m:r>
        <m:r>
          <m:rPr/>
          <w:rPr>
            <w:rFonts w:hint="default" w:ascii="Cambria Math" w:hAnsi="Cambria Math" w:cs="Times New Roman" w:eastAsiaTheme="minorEastAsia"/>
            <w:snapToGrid w:val="0"/>
            <w:color w:val="000000" w:themeColor="text1"/>
            <w:kern w:val="0"/>
            <w:sz w:val="24"/>
            <w:lang w:val="en-US" w:eastAsia="zh-CN"/>
            <w14:textFill>
              <w14:solidFill>
                <w14:schemeClr w14:val="tx1"/>
              </w14:solidFill>
            </w14:textFill>
          </w:rPr>
          <m:t>281.8</m:t>
        </m:r>
        <m:r>
          <m:rPr/>
          <w:rPr>
            <w:rFonts w:hint="default" w:ascii="Cambria Math" w:hAnsi="Cambria Math" w:cs="Times New Roman" w:eastAsiaTheme="minorEastAsia"/>
            <w:snapToGrid w:val="0"/>
            <w:color w:val="000000" w:themeColor="text1"/>
            <w:kern w:val="0"/>
            <w:sz w:val="24"/>
            <w14:textFill>
              <w14:solidFill>
                <w14:schemeClr w14:val="tx1"/>
              </w14:solidFill>
            </w14:textFill>
          </w:rPr>
          <m:t>,0.5,TRUE)</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；根据上述公式，计算了实质性派生品种发生概率</w:t>
      </w:r>
      <m:oMath>
        <m:r>
          <m:rPr/>
          <w:rPr>
            <w:rFonts w:hint="default" w:ascii="Cambria Math" w:hAnsi="Cambria Math" w:cs="Times New Roman"/>
            <w:snapToGrid w:val="0"/>
            <w:color w:val="000000" w:themeColor="text1"/>
            <w:kern w:val="0"/>
            <w:sz w:val="24"/>
            <w14:textFill>
              <w14:solidFill>
                <w14:schemeClr w14:val="tx1"/>
              </w14:solidFill>
            </w14:textFill>
          </w:rPr>
          <m:t>p</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与其判定阈值</w:t>
      </w:r>
      <m:oMath>
        <m:r>
          <m:rPr/>
          <w:rPr>
            <w:rFonts w:hint="default" w:ascii="Cambria Math" w:hAnsi="Cambria Math" w:cs="Times New Roman"/>
            <w:snapToGrid w:val="0"/>
            <w:color w:val="000000" w:themeColor="text1"/>
            <w:kern w:val="0"/>
            <w:sz w:val="24"/>
            <w14:textFill>
              <w14:solidFill>
                <w14:schemeClr w14:val="tx1"/>
              </w14:solidFill>
            </w14:textFill>
          </w:rPr>
          <m:t>x</m:t>
        </m:r>
      </m:oMath>
      <w:r>
        <w:rPr>
          <w:rFonts w:hint="default" w:ascii="Times New Roman" w:hAnsi="Times New Roman" w:cs="Times New Roman" w:eastAsiaTheme="minorEastAsia"/>
          <w:snapToGrid w:val="0"/>
          <w:color w:val="000000" w:themeColor="text1"/>
          <w:kern w:val="0"/>
          <w:sz w:val="24"/>
          <w14:textFill>
            <w14:solidFill>
              <w14:schemeClr w14:val="tx1"/>
            </w14:solidFill>
          </w14:textFill>
        </w:rPr>
        <w:t>间对应的关系，其结果见表</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6</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；从表</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6</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可以看出，</w:t>
      </w:r>
      <w:r>
        <w:rPr>
          <w:rFonts w:hint="eastAsia" w:ascii="Times New Roman" w:eastAsia="宋体" w:cs="Times New Roman"/>
          <w:color w:val="000000"/>
          <w:kern w:val="0"/>
          <w:sz w:val="24"/>
          <w:lang w:eastAsia="zh-CN"/>
        </w:rPr>
        <w:t>梨</w:t>
      </w:r>
      <w:r>
        <w:rPr>
          <w:rFonts w:hint="default" w:ascii="Times New Roman" w:hAnsi="Times New Roman" w:eastAsia="宋体" w:cs="Times New Roman"/>
          <w:color w:val="000000"/>
          <w:kern w:val="0"/>
          <w:sz w:val="24"/>
        </w:rPr>
        <w:t>品种在正常杂交选育模式下，若</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实质性派生品种判定阈值大于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63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%，杂交选育后代就可以在99%以上的概率保障下，被判定为非实质性派生品种。</w:t>
      </w:r>
    </w:p>
    <w:p w14:paraId="567CB6E4">
      <w:pPr>
        <w:pStyle w:val="5"/>
        <w:spacing w:line="360" w:lineRule="auto"/>
        <w:ind w:firstLine="0" w:firstLineChars="0"/>
        <w:jc w:val="center"/>
        <w:rPr>
          <w:rFonts w:hint="default" w:ascii="Times New Roman" w:hAnsi="Times New Roman" w:eastAsia="宋体" w:cs="Times New Roman"/>
          <w:color w:val="000000"/>
          <w:kern w:val="0"/>
          <w:sz w:val="24"/>
        </w:rPr>
      </w:pPr>
      <w:r>
        <w:rPr>
          <w:rFonts w:hint="eastAsia" w:ascii="黑体" w:hAnsi="黑体" w:eastAsia="黑体" w:cs="黑体"/>
          <w:snapToGrid w:val="0"/>
          <w:color w:val="000000" w:themeColor="text1"/>
          <w:kern w:val="0"/>
          <w:sz w:val="24"/>
          <w14:textFill>
            <w14:solidFill>
              <w14:schemeClr w14:val="tx1"/>
            </w14:solidFill>
          </w14:textFill>
        </w:rPr>
        <w:t>表</w:t>
      </w:r>
      <w:r>
        <w:rPr>
          <w:rFonts w:hint="eastAsia" w:ascii="黑体" w:hAnsi="黑体" w:eastAsia="黑体" w:cs="黑体"/>
          <w:snapToGrid w:val="0"/>
          <w:color w:val="000000" w:themeColor="text1"/>
          <w:kern w:val="0"/>
          <w:sz w:val="24"/>
          <w:lang w:val="en-US" w:eastAsia="zh-CN"/>
          <w14:textFill>
            <w14:solidFill>
              <w14:schemeClr w14:val="tx1"/>
            </w14:solidFill>
          </w14:textFill>
        </w:rPr>
        <w:t>6</w:t>
      </w:r>
      <w:r>
        <w:rPr>
          <w:rFonts w:hint="eastAsia" w:ascii="黑体" w:hAnsi="黑体" w:eastAsia="黑体" w:cs="黑体"/>
          <w:snapToGrid w:val="0"/>
          <w:color w:val="000000" w:themeColor="text1"/>
          <w:kern w:val="0"/>
          <w:sz w:val="24"/>
          <w14:textFill>
            <w14:solidFill>
              <w14:schemeClr w14:val="tx1"/>
            </w14:solidFill>
          </w14:textFill>
        </w:rPr>
        <w:t xml:space="preserve"> </w:t>
      </w:r>
      <w:r>
        <w:rPr>
          <w:rFonts w:hint="eastAsia" w:ascii="黑体" w:hAnsi="黑体" w:eastAsia="黑体" w:cs="黑体"/>
          <w:color w:val="000000"/>
          <w:kern w:val="0"/>
          <w:sz w:val="24"/>
          <w:lang w:eastAsia="zh-CN"/>
        </w:rPr>
        <w:t>梨</w:t>
      </w:r>
      <w:r>
        <w:rPr>
          <w:rFonts w:hint="eastAsia" w:ascii="黑体" w:hAnsi="黑体" w:eastAsia="黑体" w:cs="黑体"/>
          <w:color w:val="000000"/>
          <w:kern w:val="0"/>
          <w:sz w:val="24"/>
        </w:rPr>
        <w:t>品种通过正常杂交选育，在不同实质性派生品种阈值下被判定为非实质性派生品种的概率</w:t>
      </w:r>
    </w:p>
    <w:tbl>
      <w:tblPr>
        <w:tblStyle w:val="12"/>
        <w:tblW w:w="5000" w:type="pct"/>
        <w:tblInd w:w="0" w:type="dxa"/>
        <w:tblLayout w:type="fixed"/>
        <w:tblCellMar>
          <w:top w:w="0" w:type="dxa"/>
          <w:left w:w="108" w:type="dxa"/>
          <w:bottom w:w="0" w:type="dxa"/>
          <w:right w:w="108" w:type="dxa"/>
        </w:tblCellMar>
      </w:tblPr>
      <w:tblGrid>
        <w:gridCol w:w="1266"/>
        <w:gridCol w:w="1659"/>
        <w:gridCol w:w="3236"/>
        <w:gridCol w:w="2361"/>
      </w:tblGrid>
      <w:tr w14:paraId="2F01C9DE">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66EE292">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检测位点数</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ACA5A15">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lang w:eastAsia="zh-CN"/>
              </w:rPr>
              <w:t>梨</w:t>
            </w:r>
            <w:r>
              <w:rPr>
                <w:rFonts w:hint="default" w:ascii="Times New Roman" w:hAnsi="Times New Roman" w:cs="Times New Roman" w:eastAsiaTheme="minorEastAsia"/>
                <w:b/>
                <w:bCs/>
                <w:color w:val="000000"/>
                <w:kern w:val="0"/>
                <w:sz w:val="21"/>
                <w:szCs w:val="21"/>
              </w:rPr>
              <w:t>品种间的平均差异</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07C1B6D">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实质性派生品种的遗传相似系数判定阈值（</w:t>
            </w:r>
            <m:oMath>
              <m:r>
                <m:rPr>
                  <m:sty m:val="bi"/>
                </m:rPr>
                <w:rPr>
                  <w:rFonts w:hint="default" w:ascii="Cambria Math" w:hAnsi="Cambria Math" w:cs="Times New Roman" w:eastAsiaTheme="minorEastAsia"/>
                  <w:snapToGrid w:val="0"/>
                  <w:color w:val="000000" w:themeColor="text1"/>
                  <w:kern w:val="0"/>
                  <w:sz w:val="21"/>
                  <w:szCs w:val="21"/>
                  <w14:textFill>
                    <w14:solidFill>
                      <w14:schemeClr w14:val="tx1"/>
                    </w14:solidFill>
                  </w14:textFill>
                </w:rPr>
                <m:t>x</m:t>
              </m:r>
            </m:oMath>
            <w:r>
              <w:rPr>
                <w:rFonts w:hint="default" w:ascii="Times New Roman" w:hAnsi="Times New Roman" w:cs="Times New Roman" w:eastAsiaTheme="minorEastAsia"/>
                <w:b/>
                <w:bCs/>
                <w:color w:val="000000"/>
                <w:kern w:val="0"/>
                <w:sz w:val="21"/>
                <w:szCs w:val="21"/>
              </w:rPr>
              <w:t>）</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3484B77">
            <w:pPr>
              <w:widowControl/>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非实质性派生品种发生概率（</w:t>
            </w:r>
            <m:oMath>
              <m:r>
                <m:rPr>
                  <m:sty m:val="bi"/>
                </m:rPr>
                <w:rPr>
                  <w:rFonts w:hint="default" w:ascii="Cambria Math" w:hAnsi="Cambria Math" w:cs="Times New Roman" w:eastAsiaTheme="minorEastAsia"/>
                  <w:snapToGrid w:val="0"/>
                  <w:color w:val="000000" w:themeColor="text1"/>
                  <w:kern w:val="0"/>
                  <w:sz w:val="21"/>
                  <w:szCs w:val="21"/>
                  <w14:textFill>
                    <w14:solidFill>
                      <w14:schemeClr w14:val="tx1"/>
                    </w14:solidFill>
                  </w14:textFill>
                </w:rPr>
                <m:t>p</m:t>
              </m:r>
            </m:oMath>
            <w:r>
              <w:rPr>
                <w:rFonts w:hint="default" w:ascii="Times New Roman" w:hAnsi="Times New Roman" w:cs="Times New Roman" w:eastAsiaTheme="minorEastAsia"/>
                <w:b/>
                <w:bCs/>
                <w:color w:val="000000"/>
                <w:kern w:val="0"/>
                <w:sz w:val="21"/>
                <w:szCs w:val="21"/>
              </w:rPr>
              <w:t>）</w:t>
            </w:r>
          </w:p>
        </w:tc>
      </w:tr>
      <w:tr w14:paraId="5DDD2DFA">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08862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E07340B">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B3B941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A11310E">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2C2DB49">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A34354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FE0EF98">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5DF9D9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99%</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53498EAF">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2C00CEA">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4AF30F7">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CB0A85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95C1D9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98%</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3C0A55F">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908C2B1">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2EEE99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DBA006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FB95B2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97%</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19F27B7">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4DBA123E">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EC66EB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6569C87">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271E53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96%</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53EC77DA">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B239DF4">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0ED3E8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6318F0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20059C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95%</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5C69B325">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75ABD09C">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0B266C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824D092">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484CE4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94%</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CDBA593">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2FDDC7E">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E71A7D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E60F487">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09FBDA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93%</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4B19FAA">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5868F09E">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BE8326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271EB1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774D5C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92%</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3CA9FB27">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E67532A">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60086D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6B8325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DF00448">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91%</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585CA9B">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AA72C48">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C784AC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7F6FB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4C7B16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716C840">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F6F8648">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E62815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FD32C4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E6A69D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89%</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7F2A92A">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B5B7F8A">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204D0F7">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DCC7CB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99A62D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88%</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42FBEDB">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F9128BD">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696808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F8A653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B97A3E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87%</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A7EAD53">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450C530F">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75D477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8658E1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B5997B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86%</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00647E08">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062FED3">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3C7466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4EE1B0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9314202">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85%</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EA72A9D">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1653C031">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8D74A1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9142BDB">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36C7FA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84%</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1B44E28">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20A8037F">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D5DBB5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68646A2">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287D6B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83%</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E64F997">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CE64228">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33EA22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473C3D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FC20FB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82%</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07A21943">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493E230">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82093F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DC0079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6734A7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81%</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EABD78E">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FB70594">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DF71B7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098670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1B3F2F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80%</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3230A2E9">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78E7B706">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F2359A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A2B40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36C717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79%</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FC2D62E">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90FD0DA">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4A1764">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BE6197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30AA1A5">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78%</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3BA8315A">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0D9A80B">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2F7C61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0ECC3C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B402BE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77%</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F2BBAB6">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44C9BF5">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372C61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D5A1CC7">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37E8EB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76%</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6821DA50">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22E937BB">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F72FF0B">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EFCAB3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F2935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75%</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4FD44A4">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522CB3A2">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09C73B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F82C64">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19E8A2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74%</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95823A7">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5B82BA36">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CA281E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808347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390770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73%</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F3EACB6">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3D556CA0">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964A92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9945AB4">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3CB06E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72%</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6DDAAE81">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4D7F857">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8D557B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1596D71">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5A9879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71%</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2824AC4">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1C75BA1C">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CC1701C">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79FBB89">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14B054">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70%</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0C32662">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6BE5F514">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98C7F3D">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2C7A810">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1E857B2">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69%</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03FFD511">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0EC08672">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F1F6CB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2808DA8">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0196BDA">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68%</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F7DD1C6">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266431FE">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1D88AB3">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5DB499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BB498A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67%</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38E3B65">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25685FF3">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5F7A5CF">
            <w:pPr>
              <w:keepNext w:val="0"/>
              <w:keepLines w:val="0"/>
              <w:widowControl/>
              <w:suppressLineNumbers w:val="0"/>
              <w:jc w:val="center"/>
              <w:textAlignment w:val="bottom"/>
              <w:rPr>
                <w:rFonts w:hint="default" w:ascii="Times New Roman" w:hAnsi="Times New Roman" w:cs="Times New Roman" w:eastAsiaTheme="minorEastAsia"/>
                <w:color w:val="0000FF"/>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9AA33F7">
            <w:pPr>
              <w:keepNext w:val="0"/>
              <w:keepLines w:val="0"/>
              <w:widowControl/>
              <w:suppressLineNumbers w:val="0"/>
              <w:jc w:val="center"/>
              <w:textAlignment w:val="bottom"/>
              <w:rPr>
                <w:rFonts w:hint="default" w:ascii="Times New Roman" w:hAnsi="Times New Roman" w:cs="Times New Roman" w:eastAsiaTheme="minorEastAsia"/>
                <w:color w:val="0000FF"/>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FDBA30B">
            <w:pPr>
              <w:keepNext w:val="0"/>
              <w:keepLines w:val="0"/>
              <w:widowControl/>
              <w:suppressLineNumbers w:val="0"/>
              <w:jc w:val="center"/>
              <w:textAlignment w:val="bottom"/>
              <w:rPr>
                <w:rFonts w:hint="default" w:ascii="Times New Roman" w:hAnsi="Times New Roman" w:cs="Times New Roman" w:eastAsiaTheme="minorEastAsia"/>
                <w:color w:val="0000FF"/>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66%</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72427791">
            <w:pPr>
              <w:keepNext w:val="0"/>
              <w:keepLines w:val="0"/>
              <w:widowControl/>
              <w:suppressLineNumbers w:val="0"/>
              <w:jc w:val="center"/>
              <w:textAlignment w:val="top"/>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r>
      <w:tr w14:paraId="19A74321">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DECD28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836157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F54CB4E">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65%</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FFA2604">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99.99%</w:t>
            </w:r>
          </w:p>
        </w:tc>
      </w:tr>
      <w:tr w14:paraId="1CC7844B">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FD7FBB6">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07FFEBF">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F839032">
            <w:pPr>
              <w:keepNext w:val="0"/>
              <w:keepLines w:val="0"/>
              <w:widowControl/>
              <w:suppressLineNumbers w:val="0"/>
              <w:jc w:val="center"/>
              <w:textAlignment w:val="bottom"/>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64%</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6BE702A">
            <w:pPr>
              <w:keepNext w:val="0"/>
              <w:keepLines w:val="0"/>
              <w:widowControl/>
              <w:suppressLineNumbers w:val="0"/>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99.97%</w:t>
            </w:r>
          </w:p>
        </w:tc>
      </w:tr>
      <w:tr w14:paraId="6AD91330">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8462C27">
            <w:pPr>
              <w:keepNext w:val="0"/>
              <w:keepLines w:val="0"/>
              <w:widowControl/>
              <w:suppressLineNumbers w:val="0"/>
              <w:jc w:val="center"/>
              <w:textAlignment w:val="bottom"/>
              <w:rPr>
                <w:rFonts w:hint="default" w:ascii="Times New Roman" w:hAnsi="Times New Roman" w:cs="Times New Roman" w:eastAsiaTheme="minorEastAsia"/>
                <w:color w:val="FF0000"/>
                <w:kern w:val="0"/>
                <w:sz w:val="21"/>
                <w:szCs w:val="21"/>
              </w:rPr>
            </w:pPr>
            <w:r>
              <w:rPr>
                <w:rFonts w:hint="default" w:ascii="Times New Roman" w:hAnsi="Times New Roman" w:cs="Times New Roman" w:eastAsiaTheme="minorEastAsia"/>
                <w:i w:val="0"/>
                <w:iCs w:val="0"/>
                <w:color w:val="FF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83763E5">
            <w:pPr>
              <w:keepNext w:val="0"/>
              <w:keepLines w:val="0"/>
              <w:widowControl/>
              <w:suppressLineNumbers w:val="0"/>
              <w:jc w:val="center"/>
              <w:textAlignment w:val="bottom"/>
              <w:rPr>
                <w:rFonts w:hint="default" w:ascii="Times New Roman" w:hAnsi="Times New Roman" w:cs="Times New Roman" w:eastAsiaTheme="minorEastAsia"/>
                <w:color w:val="FF0000"/>
                <w:kern w:val="0"/>
                <w:sz w:val="21"/>
                <w:szCs w:val="21"/>
              </w:rPr>
            </w:pPr>
            <w:r>
              <w:rPr>
                <w:rFonts w:hint="default" w:ascii="Times New Roman" w:hAnsi="Times New Roman" w:cs="Times New Roman" w:eastAsiaTheme="minorEastAsia"/>
                <w:i w:val="0"/>
                <w:iCs w:val="0"/>
                <w:color w:val="FF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D7F1171">
            <w:pPr>
              <w:keepNext w:val="0"/>
              <w:keepLines w:val="0"/>
              <w:widowControl/>
              <w:suppressLineNumbers w:val="0"/>
              <w:jc w:val="center"/>
              <w:textAlignment w:val="bottom"/>
              <w:rPr>
                <w:rFonts w:hint="default" w:ascii="Times New Roman" w:hAnsi="Times New Roman" w:cs="Times New Roman" w:eastAsiaTheme="minorEastAsia"/>
                <w:color w:val="FF0000"/>
                <w:kern w:val="0"/>
                <w:sz w:val="21"/>
                <w:szCs w:val="21"/>
              </w:rPr>
            </w:pPr>
            <w:r>
              <w:rPr>
                <w:rFonts w:hint="default" w:ascii="Times New Roman" w:hAnsi="Times New Roman" w:cs="Times New Roman" w:eastAsiaTheme="minorEastAsia"/>
                <w:i w:val="0"/>
                <w:iCs w:val="0"/>
                <w:color w:val="FF0000"/>
                <w:kern w:val="0"/>
                <w:sz w:val="21"/>
                <w:szCs w:val="21"/>
                <w:u w:val="none"/>
                <w:lang w:val="en-US" w:eastAsia="zh-CN" w:bidi="ar"/>
              </w:rPr>
              <w:t>63%</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23A8222">
            <w:pPr>
              <w:keepNext w:val="0"/>
              <w:keepLines w:val="0"/>
              <w:widowControl/>
              <w:suppressLineNumbers w:val="0"/>
              <w:jc w:val="center"/>
              <w:textAlignment w:val="top"/>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i w:val="0"/>
                <w:iCs w:val="0"/>
                <w:color w:val="FF0000"/>
                <w:kern w:val="0"/>
                <w:sz w:val="21"/>
                <w:szCs w:val="21"/>
                <w:u w:val="none"/>
                <w:lang w:val="en-US" w:eastAsia="zh-CN" w:bidi="ar"/>
              </w:rPr>
              <w:t>99.91%</w:t>
            </w:r>
          </w:p>
        </w:tc>
      </w:tr>
      <w:tr w14:paraId="3BFA51E8">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80AA9BC">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D12AF7E">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B8B8BBA">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62%</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1CA0965B">
            <w:pPr>
              <w:keepNext w:val="0"/>
              <w:keepLines w:val="0"/>
              <w:widowControl/>
              <w:suppressLineNumbers w:val="0"/>
              <w:jc w:val="center"/>
              <w:textAlignment w:val="top"/>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99.70%</w:t>
            </w:r>
          </w:p>
        </w:tc>
      </w:tr>
      <w:tr w14:paraId="28FAF379">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0FDF300">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F7FEFC6">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C9FFFEF">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405FF2C3">
            <w:pPr>
              <w:keepNext w:val="0"/>
              <w:keepLines w:val="0"/>
              <w:widowControl/>
              <w:suppressLineNumbers w:val="0"/>
              <w:jc w:val="center"/>
              <w:textAlignment w:val="top"/>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99.16%</w:t>
            </w:r>
          </w:p>
        </w:tc>
      </w:tr>
      <w:tr w14:paraId="7FC71AA2">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018958">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BA99361">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D147579">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26399AF2">
            <w:pPr>
              <w:keepNext w:val="0"/>
              <w:keepLines w:val="0"/>
              <w:widowControl/>
              <w:suppressLineNumbers w:val="0"/>
              <w:jc w:val="center"/>
              <w:textAlignment w:val="top"/>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97.20%</w:t>
            </w:r>
          </w:p>
        </w:tc>
      </w:tr>
      <w:tr w14:paraId="7481B18C">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1EB6470">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A893B6E">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10D6AC8">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07B9BB43">
            <w:pPr>
              <w:keepNext w:val="0"/>
              <w:keepLines w:val="0"/>
              <w:widowControl/>
              <w:suppressLineNumbers w:val="0"/>
              <w:jc w:val="center"/>
              <w:textAlignment w:val="top"/>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93.96%</w:t>
            </w:r>
          </w:p>
        </w:tc>
      </w:tr>
      <w:tr w14:paraId="31AA4375">
        <w:tblPrEx>
          <w:tblCellMar>
            <w:top w:w="0" w:type="dxa"/>
            <w:left w:w="108" w:type="dxa"/>
            <w:bottom w:w="0" w:type="dxa"/>
            <w:right w:w="108" w:type="dxa"/>
          </w:tblCellMar>
        </w:tblPrEx>
        <w:trPr>
          <w:trHeight w:val="272" w:hRule="atLeast"/>
          <w:tblHeader/>
        </w:trPr>
        <w:tc>
          <w:tcPr>
            <w:tcW w:w="74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72050AB">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6BB3F0C">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90.89%</w:t>
            </w:r>
          </w:p>
        </w:tc>
        <w:tc>
          <w:tcPr>
            <w:tcW w:w="189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186BBA1">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w:t>
            </w:r>
          </w:p>
        </w:tc>
        <w:tc>
          <w:tcPr>
            <w:tcW w:w="1385" w:type="pct"/>
            <w:tcBorders>
              <w:top w:val="single" w:color="auto" w:sz="4" w:space="0"/>
              <w:left w:val="single" w:color="auto" w:sz="4" w:space="0"/>
              <w:bottom w:val="single" w:color="auto" w:sz="4" w:space="0"/>
              <w:right w:val="single" w:color="auto" w:sz="4" w:space="0"/>
            </w:tcBorders>
            <w:shd w:val="clear" w:color="auto" w:fill="auto"/>
            <w:noWrap/>
            <w:vAlign w:val="top"/>
          </w:tcPr>
          <w:p w14:paraId="6919D0E2">
            <w:pPr>
              <w:keepNext w:val="0"/>
              <w:keepLines w:val="0"/>
              <w:widowControl/>
              <w:suppressLineNumbers w:val="0"/>
              <w:jc w:val="center"/>
              <w:textAlignment w:val="top"/>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88.36%</w:t>
            </w:r>
          </w:p>
        </w:tc>
      </w:tr>
    </w:tbl>
    <w:p w14:paraId="1793A4DB">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p>
    <w:p w14:paraId="2CAA567A">
      <w:pPr>
        <w:pStyle w:val="5"/>
        <w:spacing w:line="360" w:lineRule="auto"/>
        <w:ind w:firstLine="482"/>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highlight w:val="none"/>
          <w14:textFill>
            <w14:solidFill>
              <w14:schemeClr w14:val="tx1"/>
            </w14:solidFill>
          </w14:textFill>
        </w:rPr>
        <w:t>实质性派生品种判定阈值下限的育种检验。</w:t>
      </w:r>
      <w:r>
        <w:rPr>
          <w:rFonts w:hint="eastAsia" w:ascii="Times New Roman" w:cs="Times New Roman" w:eastAsiaTheme="minorEastAsia"/>
          <w:b w:val="0"/>
          <w:bCs w:val="0"/>
          <w:snapToGrid w:val="0"/>
          <w:color w:val="000000" w:themeColor="text1"/>
          <w:kern w:val="0"/>
          <w:sz w:val="24"/>
          <w:highlight w:val="none"/>
          <w:lang w:val="en-US" w:eastAsia="zh-CN"/>
          <w14:textFill>
            <w14:solidFill>
              <w14:schemeClr w14:val="tx1"/>
            </w14:solidFill>
          </w14:textFill>
        </w:rPr>
        <w:t>我们检测了50对杂交梨品种与其亲本，包含12个育成品种和38个杂交后代材料，</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它们与亲本的遗传相似系数介于</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0.00</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89.97</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%之间</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如表7育成的梨品种和亲本间的遗传差异所示，</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即若</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实质性派生品种判定阈值大于</w:t>
      </w: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89.97</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%，可以保障</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通过</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非实质性派生品种的育种行为（正常杂交选育）产生的后代判定为非实质性派生品种。</w:t>
      </w:r>
    </w:p>
    <w:p w14:paraId="46EB66C7">
      <w:pPr>
        <w:pStyle w:val="5"/>
        <w:spacing w:line="360" w:lineRule="auto"/>
        <w:ind w:firstLine="480"/>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综上实质性派生品种判定阈值下限的统计推断和育种实例，</w:t>
      </w:r>
      <w:r>
        <w:rPr>
          <w:rFonts w:hint="eastAsia" w:ascii="Times New Roman" w:cs="Times New Roman" w:eastAsiaTheme="minorEastAsia"/>
          <w:snapToGrid w:val="0"/>
          <w:color w:val="000000" w:themeColor="text1"/>
          <w:kern w:val="0"/>
          <w:sz w:val="24"/>
          <w:highlight w:val="none"/>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的实质性派生品种判定阈值下限为</w:t>
      </w: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89.97</w:t>
      </w:r>
      <w:r>
        <w:rPr>
          <w:rFonts w:hint="default" w:ascii="Times New Roman" w:hAnsi="Times New Roman" w:cs="Times New Roman" w:eastAsiaTheme="minorEastAsia"/>
          <w:snapToGrid w:val="0"/>
          <w:color w:val="000000" w:themeColor="text1"/>
          <w:kern w:val="0"/>
          <w:sz w:val="24"/>
          <w:highlight w:val="none"/>
          <w14:textFill>
            <w14:solidFill>
              <w14:schemeClr w14:val="tx1"/>
            </w14:solidFill>
          </w14:textFill>
        </w:rPr>
        <w:t>%。</w:t>
      </w:r>
    </w:p>
    <w:p w14:paraId="53B6D12F">
      <w:pPr>
        <w:pStyle w:val="5"/>
        <w:spacing w:line="360" w:lineRule="auto"/>
        <w:ind w:firstLine="0" w:firstLineChars="0"/>
        <w:jc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lang w:val="en-US" w:eastAsia="zh-CN"/>
        </w:rPr>
        <w:t>表7 梨品种与其亲本间的遗传差异分析</w:t>
      </w:r>
    </w:p>
    <w:tbl>
      <w:tblPr>
        <w:tblStyle w:val="1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111"/>
        <w:gridCol w:w="1200"/>
        <w:gridCol w:w="1378"/>
        <w:gridCol w:w="1311"/>
        <w:gridCol w:w="1200"/>
        <w:gridCol w:w="1345"/>
      </w:tblGrid>
      <w:tr w14:paraId="3B34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4D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E97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梨品种</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A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母本</w:t>
            </w:r>
            <w:r>
              <w:rPr>
                <w:rStyle w:val="37"/>
                <w:rFonts w:hint="default" w:ascii="Times New Roman" w:hAnsi="Times New Roman" w:eastAsia="宋体" w:cs="Times New Roman"/>
                <w:b/>
                <w:bCs/>
                <w:sz w:val="21"/>
                <w:szCs w:val="21"/>
                <w:lang w:val="en-US" w:eastAsia="zh-CN" w:bidi="ar"/>
              </w:rPr>
              <w:t>/</w:t>
            </w:r>
            <w:r>
              <w:rPr>
                <w:rStyle w:val="38"/>
                <w:rFonts w:hint="default" w:ascii="Times New Roman" w:hAnsi="Times New Roman" w:eastAsia="宋体" w:cs="Times New Roman"/>
                <w:b/>
                <w:bCs/>
                <w:sz w:val="21"/>
                <w:szCs w:val="21"/>
                <w:lang w:val="en-US" w:eastAsia="zh-CN" w:bidi="ar"/>
              </w:rPr>
              <w:t>父本</w:t>
            </w:r>
          </w:p>
        </w:tc>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84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梨品种与母本</w:t>
            </w:r>
            <w:r>
              <w:rPr>
                <w:rStyle w:val="37"/>
                <w:rFonts w:hint="default" w:ascii="Times New Roman" w:hAnsi="Times New Roman" w:eastAsia="宋体" w:cs="Times New Roman"/>
                <w:b/>
                <w:bCs/>
                <w:sz w:val="21"/>
                <w:szCs w:val="21"/>
                <w:lang w:val="en-US" w:eastAsia="zh-CN" w:bidi="ar"/>
              </w:rPr>
              <w:t>/</w:t>
            </w:r>
            <w:r>
              <w:rPr>
                <w:rStyle w:val="38"/>
                <w:rFonts w:hint="default" w:ascii="Times New Roman" w:hAnsi="Times New Roman" w:eastAsia="宋体" w:cs="Times New Roman"/>
                <w:b/>
                <w:bCs/>
                <w:sz w:val="21"/>
                <w:szCs w:val="21"/>
                <w:lang w:val="en-US" w:eastAsia="zh-CN" w:bidi="ar"/>
              </w:rPr>
              <w:t>父本的</w:t>
            </w:r>
            <w:r>
              <w:rPr>
                <w:rStyle w:val="37"/>
                <w:rFonts w:hint="default" w:ascii="Times New Roman" w:hAnsi="Times New Roman" w:eastAsia="宋体" w:cs="Times New Roman"/>
                <w:b/>
                <w:bCs/>
                <w:sz w:val="21"/>
                <w:szCs w:val="21"/>
                <w:lang w:val="en-US" w:eastAsia="zh-CN" w:bidi="ar"/>
              </w:rPr>
              <w:t>MNP</w:t>
            </w:r>
            <w:r>
              <w:rPr>
                <w:rStyle w:val="38"/>
                <w:rFonts w:hint="default" w:ascii="Times New Roman" w:hAnsi="Times New Roman" w:eastAsia="宋体" w:cs="Times New Roman"/>
                <w:b/>
                <w:bCs/>
                <w:sz w:val="21"/>
                <w:szCs w:val="21"/>
                <w:lang w:val="en-US" w:eastAsia="zh-CN" w:bidi="ar"/>
              </w:rPr>
              <w:t>标记比较结果</w:t>
            </w:r>
          </w:p>
        </w:tc>
      </w:tr>
      <w:tr w14:paraId="7EB6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8D3F">
            <w:pPr>
              <w:jc w:val="center"/>
              <w:rPr>
                <w:rFonts w:hint="default" w:ascii="Times New Roman" w:hAnsi="Times New Roman" w:eastAsia="宋体" w:cs="Times New Roman"/>
                <w:b/>
                <w:bCs/>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0D96">
            <w:pPr>
              <w:jc w:val="center"/>
              <w:rPr>
                <w:rFonts w:hint="default" w:ascii="Times New Roman" w:hAnsi="Times New Roman" w:eastAsia="宋体" w:cs="Times New Roman"/>
                <w:b/>
                <w:bCs/>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597A">
            <w:pPr>
              <w:jc w:val="center"/>
              <w:rPr>
                <w:rFonts w:hint="default" w:ascii="Times New Roman" w:hAnsi="Times New Roman" w:eastAsia="宋体" w:cs="Times New Roman"/>
                <w:b/>
                <w:bCs/>
                <w:i w:val="0"/>
                <w:iCs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E7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比较位点数</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DC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差异位点数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DB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差异比例</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04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遗传相似度</w:t>
            </w:r>
          </w:p>
        </w:tc>
      </w:tr>
      <w:tr w14:paraId="088A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B3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16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华蜜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8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红香酥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11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6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FD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8A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2F3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C0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E9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早金酥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1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雪花</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0B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FF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F3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91.50%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4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8.50%</w:t>
            </w:r>
          </w:p>
        </w:tc>
      </w:tr>
      <w:tr w14:paraId="2D34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3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新梨</w:t>
            </w:r>
            <w:r>
              <w:rPr>
                <w:rStyle w:val="39"/>
                <w:rFonts w:hint="default" w:ascii="Times New Roman" w:hAnsi="Times New Roman" w:eastAsia="宋体" w:cs="Times New Roman"/>
                <w:sz w:val="21"/>
                <w:szCs w:val="21"/>
                <w:lang w:val="en-US" w:eastAsia="zh-CN" w:bidi="ar"/>
              </w:rPr>
              <w:t>7</w:t>
            </w:r>
            <w:r>
              <w:rPr>
                <w:rStyle w:val="40"/>
                <w:rFonts w:hint="default" w:ascii="Times New Roman" w:hAnsi="Times New Roman" w:eastAsia="宋体" w:cs="Times New Roman"/>
                <w:sz w:val="21"/>
                <w:szCs w:val="21"/>
                <w:lang w:val="en-US" w:eastAsia="zh-CN" w:bidi="ar"/>
              </w:rPr>
              <w:t>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A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早酥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C3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4C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0C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83.22%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8B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16.78%</w:t>
            </w:r>
          </w:p>
        </w:tc>
      </w:tr>
      <w:tr w14:paraId="0F53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4A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9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新梨</w:t>
            </w:r>
            <w:r>
              <w:rPr>
                <w:rStyle w:val="39"/>
                <w:rFonts w:hint="default" w:ascii="Times New Roman" w:hAnsi="Times New Roman" w:eastAsia="宋体" w:cs="Times New Roman"/>
                <w:sz w:val="21"/>
                <w:szCs w:val="21"/>
                <w:lang w:val="en-US" w:eastAsia="zh-CN" w:bidi="ar"/>
              </w:rPr>
              <w:t>7</w:t>
            </w:r>
            <w:r>
              <w:rPr>
                <w:rStyle w:val="40"/>
                <w:rFonts w:hint="default" w:ascii="Times New Roman" w:hAnsi="Times New Roman" w:eastAsia="宋体" w:cs="Times New Roman"/>
                <w:sz w:val="21"/>
                <w:szCs w:val="21"/>
                <w:lang w:val="en-US" w:eastAsia="zh-CN" w:bidi="ar"/>
              </w:rPr>
              <w:t>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7A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库尔勒香</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05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6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B8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82.37%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A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17.63%</w:t>
            </w:r>
          </w:p>
        </w:tc>
      </w:tr>
      <w:tr w14:paraId="13A9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71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D2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雪青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5C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雪花</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B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4D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12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81.91%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8C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18.09%</w:t>
            </w:r>
          </w:p>
        </w:tc>
      </w:tr>
      <w:tr w14:paraId="2A58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F8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E2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红酥蜜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5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红香酥</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D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63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1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13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22.85%</w:t>
            </w:r>
          </w:p>
        </w:tc>
      </w:tr>
      <w:tr w14:paraId="08E7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FE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10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早金酥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0C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早酥</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3D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01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79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76.49%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2D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23.51%</w:t>
            </w:r>
          </w:p>
        </w:tc>
      </w:tr>
      <w:tr w14:paraId="1648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6F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DF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雪青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5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翠冠</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78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7F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82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76.39%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32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23.61%</w:t>
            </w:r>
          </w:p>
        </w:tc>
      </w:tr>
      <w:tr w14:paraId="5268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62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5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丹霞红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1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红香酥</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1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F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7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0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24.42%</w:t>
            </w:r>
          </w:p>
        </w:tc>
      </w:tr>
      <w:tr w14:paraId="4BCB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0F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B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玉露香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32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库尔勒香</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8B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DB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62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72.82%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5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27.18%</w:t>
            </w:r>
          </w:p>
        </w:tc>
      </w:tr>
      <w:tr w14:paraId="0D30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F5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1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F6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翠冠</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68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29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10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63.52%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BF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36.48%</w:t>
            </w:r>
          </w:p>
        </w:tc>
      </w:tr>
      <w:tr w14:paraId="7D82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8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49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苏翠</w:t>
            </w:r>
            <w:r>
              <w:rPr>
                <w:rStyle w:val="41"/>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C3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翠冠</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1B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F8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B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CC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89.97%</w:t>
            </w:r>
          </w:p>
        </w:tc>
      </w:tr>
    </w:tbl>
    <w:p w14:paraId="12433B17">
      <w:pPr>
        <w:pStyle w:val="5"/>
        <w:spacing w:line="360" w:lineRule="auto"/>
        <w:ind w:firstLine="48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b) 按照“校对规则”，实质性派生品种判定阈值的上限为9</w:t>
      </w:r>
      <w:r>
        <w:rPr>
          <w:rFonts w:hint="default"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.7</w:t>
      </w:r>
      <w:r>
        <w:rPr>
          <w:rFonts w:hint="default"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w:t>
      </w:r>
    </w:p>
    <w:p w14:paraId="6C0EF2DD">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根据UPOV有关文件描述，多代回交育种、诱变育种、转基因育种、基因编辑育种等通过现代生物技术进行的快速品种改良行为容易产生实质性派生品种，因此被认为是实质性派生品种育种行为。在本标准中，实质性派生品种的判定阈值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%，相当于在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个标记位点中，有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%即</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个位点存在差异。现有的定向改良技术一般是定向改良1个或少数几个基因，要定向改良</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31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个基因位点的难度是很大的。因此，从技术难度上讲，9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%的判定阈值基本排除了由现有实质性派生行为产生的品种。</w:t>
      </w:r>
    </w:p>
    <w:p w14:paraId="2D718839">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目前梨品种培育的实质性派生育种方式主要为芽变，</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我们</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搜集到6对</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通过</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芽变</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产生的品种。利用本标准检测获得</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原始品种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派生品种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间的遗传相似系数</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在98.71%-100%之间</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bookmarkStart w:id="17" w:name="OLE_LINK5"/>
      <w:r>
        <w:rPr>
          <w:rFonts w:hint="default" w:ascii="Times New Roman" w:hAnsi="Times New Roman" w:cs="Times New Roman" w:eastAsiaTheme="minorEastAsia"/>
          <w:snapToGrid w:val="0"/>
          <w:color w:val="000000" w:themeColor="text1"/>
          <w:kern w:val="0"/>
          <w:sz w:val="24"/>
          <w14:textFill>
            <w14:solidFill>
              <w14:schemeClr w14:val="tx1"/>
            </w14:solidFill>
          </w14:textFill>
        </w:rPr>
        <w:t>即若</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实质性派生品种判定阈值小于9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.7</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%，可以在99%的概率保障下，将容易产生实质性派生品种的育种行为（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芽变</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）产生的后代判定为实质性派生品种。</w:t>
      </w:r>
    </w:p>
    <w:bookmarkEnd w:id="17"/>
    <w:p w14:paraId="307BC697">
      <w:pPr>
        <w:pStyle w:val="5"/>
        <w:spacing w:line="360" w:lineRule="auto"/>
        <w:ind w:firstLine="480"/>
        <w:rPr>
          <w:rFonts w:hint="eastAsia" w:ascii="黑体" w:hAnsi="黑体" w:eastAsia="黑体" w:cs="黑体"/>
          <w:snapToGrid w:val="0"/>
          <w:color w:val="000000" w:themeColor="text1"/>
          <w:kern w:val="0"/>
          <w:sz w:val="24"/>
          <w14:textFill>
            <w14:solidFill>
              <w14:schemeClr w14:val="tx1"/>
            </w14:solidFill>
          </w14:textFill>
        </w:rPr>
      </w:pPr>
      <w:r>
        <w:rPr>
          <w:rFonts w:hint="eastAsia" w:ascii="黑体" w:hAnsi="黑体" w:eastAsia="黑体" w:cs="黑体"/>
          <w:snapToGrid w:val="0"/>
          <w:color w:val="000000" w:themeColor="text1"/>
          <w:kern w:val="0"/>
          <w:sz w:val="24"/>
          <w14:textFill>
            <w14:solidFill>
              <w14:schemeClr w14:val="tx1"/>
            </w14:solidFill>
          </w14:textFill>
        </w:rPr>
        <w:t>表</w:t>
      </w:r>
      <w:r>
        <w:rPr>
          <w:rFonts w:hint="eastAsia" w:ascii="黑体" w:hAnsi="黑体" w:eastAsia="黑体" w:cs="黑体"/>
          <w:snapToGrid w:val="0"/>
          <w:color w:val="000000" w:themeColor="text1"/>
          <w:kern w:val="0"/>
          <w:sz w:val="24"/>
          <w:lang w:val="en-US" w:eastAsia="zh-CN"/>
          <w14:textFill>
            <w14:solidFill>
              <w14:schemeClr w14:val="tx1"/>
            </w14:solidFill>
          </w14:textFill>
        </w:rPr>
        <w:t>8</w:t>
      </w:r>
      <w:r>
        <w:rPr>
          <w:rFonts w:hint="eastAsia" w:ascii="黑体" w:hAnsi="黑体" w:eastAsia="黑体" w:cs="黑体"/>
          <w:snapToGrid w:val="0"/>
          <w:color w:val="000000" w:themeColor="text1"/>
          <w:kern w:val="0"/>
          <w:sz w:val="24"/>
          <w14:textFill>
            <w14:solidFill>
              <w14:schemeClr w14:val="tx1"/>
            </w14:solidFill>
          </w14:textFill>
        </w:rPr>
        <w:t xml:space="preserve"> 实质性派生育种行为所产生的后代与其原始品种间的遗传相似度</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7"/>
        <w:gridCol w:w="1250"/>
        <w:gridCol w:w="1739"/>
        <w:gridCol w:w="1277"/>
        <w:gridCol w:w="981"/>
        <w:gridCol w:w="1475"/>
      </w:tblGrid>
      <w:tr w14:paraId="2F61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noWrap/>
            <w:vAlign w:val="center"/>
          </w:tcPr>
          <w:p w14:paraId="3B714F79">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626" w:type="pct"/>
            <w:shd w:val="clear" w:color="auto" w:fill="auto"/>
            <w:noWrap/>
            <w:vAlign w:val="center"/>
          </w:tcPr>
          <w:p w14:paraId="0F7DEFA8">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原始品种</w:t>
            </w:r>
          </w:p>
        </w:tc>
        <w:tc>
          <w:tcPr>
            <w:tcW w:w="733" w:type="pct"/>
            <w:shd w:val="clear" w:color="auto" w:fill="auto"/>
            <w:noWrap/>
            <w:vAlign w:val="center"/>
          </w:tcPr>
          <w:p w14:paraId="7225F6F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派生品种</w:t>
            </w:r>
          </w:p>
        </w:tc>
        <w:tc>
          <w:tcPr>
            <w:tcW w:w="1020" w:type="pct"/>
            <w:shd w:val="clear" w:color="auto" w:fill="auto"/>
            <w:noWrap/>
            <w:vAlign w:val="center"/>
          </w:tcPr>
          <w:p w14:paraId="5161AA84">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育种方式</w:t>
            </w:r>
          </w:p>
        </w:tc>
        <w:tc>
          <w:tcPr>
            <w:tcW w:w="749" w:type="pct"/>
            <w:shd w:val="clear" w:color="auto" w:fill="auto"/>
            <w:noWrap/>
            <w:vAlign w:val="center"/>
          </w:tcPr>
          <w:p w14:paraId="57882148">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比较位点数</w:t>
            </w:r>
          </w:p>
        </w:tc>
        <w:tc>
          <w:tcPr>
            <w:tcW w:w="575" w:type="pct"/>
            <w:shd w:val="clear" w:color="auto" w:fill="auto"/>
            <w:noWrap/>
            <w:vAlign w:val="center"/>
          </w:tcPr>
          <w:p w14:paraId="1A2F1FC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差异位点数目</w:t>
            </w:r>
          </w:p>
        </w:tc>
        <w:tc>
          <w:tcPr>
            <w:tcW w:w="865" w:type="pct"/>
            <w:shd w:val="clear" w:color="auto" w:fill="auto"/>
            <w:noWrap/>
            <w:vAlign w:val="center"/>
          </w:tcPr>
          <w:p w14:paraId="11F5A88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遗传相似度(GS)</w:t>
            </w:r>
          </w:p>
        </w:tc>
      </w:tr>
      <w:tr w14:paraId="52B5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44E03F46">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626" w:type="pct"/>
            <w:shd w:val="clear" w:color="auto" w:fill="auto"/>
            <w:vAlign w:val="center"/>
          </w:tcPr>
          <w:p w14:paraId="7F6B730A">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巴梨</w:t>
            </w:r>
          </w:p>
        </w:tc>
        <w:tc>
          <w:tcPr>
            <w:tcW w:w="733" w:type="pct"/>
            <w:shd w:val="clear" w:color="auto" w:fill="auto"/>
            <w:vAlign w:val="center"/>
          </w:tcPr>
          <w:p w14:paraId="21DC36CF">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红巴梨</w:t>
            </w:r>
          </w:p>
        </w:tc>
        <w:tc>
          <w:tcPr>
            <w:tcW w:w="1020" w:type="pct"/>
            <w:shd w:val="clear" w:color="auto" w:fill="auto"/>
            <w:noWrap/>
            <w:vAlign w:val="center"/>
          </w:tcPr>
          <w:p w14:paraId="6E3AEEE0">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芽变</w:t>
            </w:r>
          </w:p>
        </w:tc>
        <w:tc>
          <w:tcPr>
            <w:tcW w:w="749" w:type="pct"/>
            <w:shd w:val="clear" w:color="auto" w:fill="auto"/>
            <w:vAlign w:val="center"/>
          </w:tcPr>
          <w:p w14:paraId="490A7FDD">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294</w:t>
            </w:r>
          </w:p>
        </w:tc>
        <w:tc>
          <w:tcPr>
            <w:tcW w:w="575" w:type="pct"/>
            <w:shd w:val="clear" w:color="auto" w:fill="auto"/>
            <w:vAlign w:val="center"/>
          </w:tcPr>
          <w:p w14:paraId="7CF835E5">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0</w:t>
            </w:r>
          </w:p>
        </w:tc>
        <w:tc>
          <w:tcPr>
            <w:tcW w:w="865" w:type="pct"/>
            <w:shd w:val="clear" w:color="auto" w:fill="auto"/>
            <w:vAlign w:val="center"/>
          </w:tcPr>
          <w:p w14:paraId="42169687">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100.00%</w:t>
            </w:r>
          </w:p>
        </w:tc>
      </w:tr>
      <w:tr w14:paraId="61CD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3E8A84F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626" w:type="pct"/>
            <w:shd w:val="clear" w:color="auto" w:fill="auto"/>
            <w:vAlign w:val="center"/>
          </w:tcPr>
          <w:p w14:paraId="13760208">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兰州长把梨</w:t>
            </w:r>
          </w:p>
        </w:tc>
        <w:tc>
          <w:tcPr>
            <w:tcW w:w="733" w:type="pct"/>
            <w:shd w:val="clear" w:color="auto" w:fill="auto"/>
            <w:vAlign w:val="center"/>
          </w:tcPr>
          <w:p w14:paraId="2308990D">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花长把</w:t>
            </w:r>
          </w:p>
        </w:tc>
        <w:tc>
          <w:tcPr>
            <w:tcW w:w="1020" w:type="pct"/>
            <w:shd w:val="clear" w:color="auto" w:fill="auto"/>
            <w:noWrap/>
            <w:vAlign w:val="center"/>
          </w:tcPr>
          <w:p w14:paraId="33B32894">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芽变</w:t>
            </w:r>
          </w:p>
        </w:tc>
        <w:tc>
          <w:tcPr>
            <w:tcW w:w="749" w:type="pct"/>
            <w:shd w:val="clear" w:color="auto" w:fill="auto"/>
            <w:vAlign w:val="center"/>
          </w:tcPr>
          <w:p w14:paraId="6FCDA38F">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307</w:t>
            </w:r>
          </w:p>
        </w:tc>
        <w:tc>
          <w:tcPr>
            <w:tcW w:w="575" w:type="pct"/>
            <w:shd w:val="clear" w:color="auto" w:fill="auto"/>
            <w:vAlign w:val="center"/>
          </w:tcPr>
          <w:p w14:paraId="6F87AB33">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65" w:type="pct"/>
            <w:shd w:val="clear" w:color="auto" w:fill="auto"/>
            <w:vAlign w:val="center"/>
          </w:tcPr>
          <w:p w14:paraId="37A639F1">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100.00%</w:t>
            </w:r>
          </w:p>
        </w:tc>
      </w:tr>
      <w:tr w14:paraId="4FA3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20FED808">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w:t>
            </w:r>
          </w:p>
        </w:tc>
        <w:tc>
          <w:tcPr>
            <w:tcW w:w="626" w:type="pct"/>
            <w:shd w:val="clear" w:color="auto" w:fill="auto"/>
            <w:vAlign w:val="center"/>
          </w:tcPr>
          <w:p w14:paraId="28494B3B">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南果</w:t>
            </w:r>
          </w:p>
        </w:tc>
        <w:tc>
          <w:tcPr>
            <w:tcW w:w="733" w:type="pct"/>
            <w:shd w:val="clear" w:color="auto" w:fill="auto"/>
            <w:vAlign w:val="center"/>
          </w:tcPr>
          <w:p w14:paraId="7BC2884A">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南红</w:t>
            </w:r>
          </w:p>
        </w:tc>
        <w:tc>
          <w:tcPr>
            <w:tcW w:w="1020" w:type="pct"/>
            <w:shd w:val="clear" w:color="auto" w:fill="auto"/>
            <w:noWrap/>
            <w:vAlign w:val="center"/>
          </w:tcPr>
          <w:p w14:paraId="5876567A">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芽变</w:t>
            </w:r>
          </w:p>
        </w:tc>
        <w:tc>
          <w:tcPr>
            <w:tcW w:w="749" w:type="pct"/>
            <w:shd w:val="clear" w:color="auto" w:fill="auto"/>
            <w:vAlign w:val="center"/>
          </w:tcPr>
          <w:p w14:paraId="1C3465C0">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302</w:t>
            </w:r>
          </w:p>
        </w:tc>
        <w:tc>
          <w:tcPr>
            <w:tcW w:w="575" w:type="pct"/>
            <w:shd w:val="clear" w:color="auto" w:fill="auto"/>
            <w:vAlign w:val="center"/>
          </w:tcPr>
          <w:p w14:paraId="38CCE6EF">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w:t>
            </w:r>
          </w:p>
        </w:tc>
        <w:tc>
          <w:tcPr>
            <w:tcW w:w="865" w:type="pct"/>
            <w:shd w:val="clear" w:color="auto" w:fill="auto"/>
            <w:vAlign w:val="center"/>
          </w:tcPr>
          <w:p w14:paraId="01318AD0">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99.67</w:t>
            </w:r>
            <w:r>
              <w:rPr>
                <w:rFonts w:hint="default" w:ascii="Times New Roman" w:hAnsi="Times New Roman" w:eastAsia="宋体" w:cs="Times New Roman"/>
                <w:color w:val="000000"/>
                <w:kern w:val="0"/>
                <w:sz w:val="21"/>
                <w:szCs w:val="21"/>
              </w:rPr>
              <w:t>%</w:t>
            </w:r>
          </w:p>
        </w:tc>
      </w:tr>
      <w:tr w14:paraId="3DD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4BA9B9BF">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4</w:t>
            </w:r>
          </w:p>
        </w:tc>
        <w:tc>
          <w:tcPr>
            <w:tcW w:w="626" w:type="pct"/>
            <w:shd w:val="clear" w:color="auto" w:fill="auto"/>
            <w:vAlign w:val="center"/>
          </w:tcPr>
          <w:p w14:paraId="4D5564B3">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鸭梨</w:t>
            </w:r>
          </w:p>
        </w:tc>
        <w:tc>
          <w:tcPr>
            <w:tcW w:w="733" w:type="pct"/>
            <w:shd w:val="clear" w:color="auto" w:fill="auto"/>
            <w:vAlign w:val="center"/>
          </w:tcPr>
          <w:p w14:paraId="64E1A2EF">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大鸭梨</w:t>
            </w:r>
          </w:p>
        </w:tc>
        <w:tc>
          <w:tcPr>
            <w:tcW w:w="1020" w:type="pct"/>
            <w:shd w:val="clear" w:color="auto" w:fill="auto"/>
            <w:noWrap/>
            <w:vAlign w:val="center"/>
          </w:tcPr>
          <w:p w14:paraId="1333F7BF">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多倍体芽变</w:t>
            </w:r>
          </w:p>
        </w:tc>
        <w:tc>
          <w:tcPr>
            <w:tcW w:w="749" w:type="pct"/>
            <w:shd w:val="clear" w:color="auto" w:fill="auto"/>
            <w:vAlign w:val="center"/>
          </w:tcPr>
          <w:p w14:paraId="17B91310">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307</w:t>
            </w:r>
          </w:p>
        </w:tc>
        <w:tc>
          <w:tcPr>
            <w:tcW w:w="575" w:type="pct"/>
            <w:shd w:val="clear" w:color="auto" w:fill="auto"/>
            <w:vAlign w:val="center"/>
          </w:tcPr>
          <w:p w14:paraId="7EBE3584">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2</w:t>
            </w:r>
          </w:p>
        </w:tc>
        <w:tc>
          <w:tcPr>
            <w:tcW w:w="865" w:type="pct"/>
            <w:shd w:val="clear" w:color="auto" w:fill="auto"/>
            <w:vAlign w:val="center"/>
          </w:tcPr>
          <w:p w14:paraId="139CAB37">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99.35</w:t>
            </w:r>
            <w:r>
              <w:rPr>
                <w:rFonts w:hint="default" w:ascii="Times New Roman" w:hAnsi="Times New Roman" w:eastAsia="宋体" w:cs="Times New Roman"/>
                <w:color w:val="000000"/>
                <w:kern w:val="0"/>
                <w:sz w:val="21"/>
                <w:szCs w:val="21"/>
              </w:rPr>
              <w:t>%</w:t>
            </w:r>
          </w:p>
        </w:tc>
      </w:tr>
      <w:tr w14:paraId="1DC5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0935334B">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5</w:t>
            </w:r>
          </w:p>
        </w:tc>
        <w:tc>
          <w:tcPr>
            <w:tcW w:w="626" w:type="pct"/>
            <w:shd w:val="clear" w:color="auto" w:fill="auto"/>
            <w:vAlign w:val="center"/>
          </w:tcPr>
          <w:p w14:paraId="233E9DB4">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早酥</w:t>
            </w:r>
          </w:p>
        </w:tc>
        <w:tc>
          <w:tcPr>
            <w:tcW w:w="733" w:type="pct"/>
            <w:shd w:val="clear" w:color="auto" w:fill="auto"/>
            <w:vAlign w:val="center"/>
          </w:tcPr>
          <w:p w14:paraId="28C69BFC">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奥红1号</w:t>
            </w:r>
          </w:p>
        </w:tc>
        <w:tc>
          <w:tcPr>
            <w:tcW w:w="1020" w:type="pct"/>
            <w:shd w:val="clear" w:color="auto" w:fill="auto"/>
            <w:noWrap/>
            <w:vAlign w:val="center"/>
          </w:tcPr>
          <w:p w14:paraId="43659F70">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芽变</w:t>
            </w:r>
          </w:p>
        </w:tc>
        <w:tc>
          <w:tcPr>
            <w:tcW w:w="749" w:type="pct"/>
            <w:shd w:val="clear" w:color="auto" w:fill="auto"/>
            <w:vAlign w:val="center"/>
          </w:tcPr>
          <w:p w14:paraId="2A0FC317">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305</w:t>
            </w:r>
          </w:p>
        </w:tc>
        <w:tc>
          <w:tcPr>
            <w:tcW w:w="575" w:type="pct"/>
            <w:shd w:val="clear" w:color="auto" w:fill="auto"/>
            <w:vAlign w:val="center"/>
          </w:tcPr>
          <w:p w14:paraId="2118A742">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w:t>
            </w:r>
          </w:p>
        </w:tc>
        <w:tc>
          <w:tcPr>
            <w:tcW w:w="865" w:type="pct"/>
            <w:shd w:val="clear" w:color="auto" w:fill="auto"/>
            <w:vAlign w:val="center"/>
          </w:tcPr>
          <w:p w14:paraId="571EA821">
            <w:pPr>
              <w:widowControl/>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99.02</w:t>
            </w:r>
            <w:r>
              <w:rPr>
                <w:rFonts w:hint="default" w:ascii="Times New Roman" w:hAnsi="Times New Roman" w:eastAsia="宋体" w:cs="Times New Roman"/>
                <w:color w:val="000000"/>
                <w:kern w:val="0"/>
                <w:sz w:val="21"/>
                <w:szCs w:val="21"/>
              </w:rPr>
              <w:t>%</w:t>
            </w:r>
          </w:p>
        </w:tc>
      </w:tr>
      <w:tr w14:paraId="3570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pct"/>
            <w:shd w:val="clear" w:color="auto" w:fill="auto"/>
            <w:vAlign w:val="center"/>
          </w:tcPr>
          <w:p w14:paraId="48BCFA01">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6</w:t>
            </w:r>
          </w:p>
        </w:tc>
        <w:tc>
          <w:tcPr>
            <w:tcW w:w="626" w:type="pct"/>
            <w:shd w:val="clear" w:color="auto" w:fill="auto"/>
            <w:vAlign w:val="center"/>
          </w:tcPr>
          <w:p w14:paraId="59EF1725">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库尔勒香</w:t>
            </w:r>
          </w:p>
        </w:tc>
        <w:tc>
          <w:tcPr>
            <w:tcW w:w="733" w:type="pct"/>
            <w:shd w:val="clear" w:color="auto" w:fill="auto"/>
            <w:vAlign w:val="center"/>
          </w:tcPr>
          <w:p w14:paraId="1CB3FA42">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沙01</w:t>
            </w:r>
          </w:p>
        </w:tc>
        <w:tc>
          <w:tcPr>
            <w:tcW w:w="1020" w:type="pct"/>
            <w:shd w:val="clear" w:color="auto" w:fill="auto"/>
            <w:noWrap/>
            <w:vAlign w:val="center"/>
          </w:tcPr>
          <w:p w14:paraId="3BE79E62">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芽变</w:t>
            </w:r>
          </w:p>
        </w:tc>
        <w:tc>
          <w:tcPr>
            <w:tcW w:w="749" w:type="pct"/>
            <w:shd w:val="clear" w:color="auto" w:fill="auto"/>
            <w:vAlign w:val="center"/>
          </w:tcPr>
          <w:p w14:paraId="5B29B42B">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310</w:t>
            </w:r>
          </w:p>
        </w:tc>
        <w:tc>
          <w:tcPr>
            <w:tcW w:w="575" w:type="pct"/>
            <w:shd w:val="clear" w:color="auto" w:fill="auto"/>
            <w:vAlign w:val="center"/>
          </w:tcPr>
          <w:p w14:paraId="0D643CE1">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4</w:t>
            </w:r>
          </w:p>
        </w:tc>
        <w:tc>
          <w:tcPr>
            <w:tcW w:w="865" w:type="pct"/>
            <w:shd w:val="clear" w:color="auto" w:fill="auto"/>
            <w:vAlign w:val="center"/>
          </w:tcPr>
          <w:p w14:paraId="1C977887">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98.71</w:t>
            </w:r>
            <w:r>
              <w:rPr>
                <w:rFonts w:hint="default" w:ascii="Times New Roman" w:hAnsi="Times New Roman" w:eastAsia="宋体" w:cs="Times New Roman"/>
                <w:color w:val="000000"/>
                <w:kern w:val="0"/>
                <w:sz w:val="21"/>
                <w:szCs w:val="21"/>
              </w:rPr>
              <w:t>%</w:t>
            </w:r>
          </w:p>
        </w:tc>
      </w:tr>
    </w:tbl>
    <w:p w14:paraId="05BA2B5C">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综上实质性派生品种判定阈值上限的统计推断和育种实例，</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的实质性派生品种判定阈值上限为9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.7</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167D9ECA">
      <w:pPr>
        <w:pStyle w:val="5"/>
        <w:tabs>
          <w:tab w:val="left" w:pos="1560"/>
        </w:tabs>
        <w:spacing w:line="360" w:lineRule="auto"/>
        <w:ind w:firstLine="482"/>
        <w:rPr>
          <w:rFonts w:hint="default" w:ascii="Times New Roman" w:hAnsi="Times New Roman" w:cs="Times New Roman" w:eastAsiaTheme="minorEastAsia"/>
          <w:b/>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w:t>
      </w:r>
      <w:r>
        <w:rPr>
          <w:rFonts w:hint="eastAsia" w:ascii="Times New Roman" w:cs="Times New Roman" w:eastAsiaTheme="minorEastAsia"/>
          <w:b/>
          <w:snapToGrid w:val="0"/>
          <w:color w:val="000000" w:themeColor="text1"/>
          <w:kern w:val="0"/>
          <w:sz w:val="24"/>
          <w:lang w:val="en-US" w:eastAsia="zh-CN"/>
          <w14:textFill>
            <w14:solidFill>
              <w14:schemeClr w14:val="tx1"/>
            </w14:solidFill>
          </w14:textFill>
        </w:rPr>
        <w:t>2</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）根据实质性派生品种为新品种的基本要求，实质性派生品种判定阈值应该小于96%</w:t>
      </w:r>
    </w:p>
    <w:p w14:paraId="10A7524A">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根据《种子法》和国际植物新品种保护联盟（UPOV）对实质性派生品种的定义，实质性派生品种必须是新品种，因此，实质性派生品种的判定阈值要小于植物新品种的判定阈值。</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新品种的判定阈值为96%，因此，</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实质性派生品种的判定阈值应该小于96%。</w:t>
      </w:r>
    </w:p>
    <w:p w14:paraId="599BD22E">
      <w:pPr>
        <w:pStyle w:val="5"/>
        <w:tabs>
          <w:tab w:val="left" w:pos="1560"/>
        </w:tabs>
        <w:spacing w:line="360" w:lineRule="auto"/>
        <w:ind w:firstLineChars="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）国际种业知识产权相关组织制定的实质性派生品种判定阈值介于82%-96%之间</w:t>
      </w:r>
    </w:p>
    <w:p w14:paraId="01183BA3">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国际种子联盟（ISF）分别于2004年和2007年制定了一系列作物的实质性派生品种判定准则。对生菜、棉花、玉米、油菜实质性派生品种的遗传相似系数的判定阈值分别规定为96%、87.5%、82%和85%；法国提议在蔬菜方面可以采用200个标记，如遗传相似度超过90%以上，可以认定为EDV；国际无性繁殖园艺植物育种者协会（CIOPORA）建议遗传相似系数90%作为举证责任转移的阈值。</w:t>
      </w:r>
    </w:p>
    <w:p w14:paraId="58A2E270">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4</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）在我国过往的</w:t>
      </w:r>
      <w:r>
        <w:rPr>
          <w:rFonts w:hint="eastAsia" w:ascii="Times New Roman" w:cs="Times New Roman" w:eastAsiaTheme="minorEastAsia"/>
          <w:b/>
          <w:bCs/>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育种创新水平下，不同的实质性派生品种判定阈值对育成品种的影响程度</w:t>
      </w:r>
    </w:p>
    <w:p w14:paraId="42BF1CA5">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实质性派生品种判定阈值越严格，激励种业原始创新的力度就越大，但较微小的创新又可能会被人为淘汰。因此，实质性派生品种判定阈值应在创新与稳定间寻求平衡。利用本标准检测了</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77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育成</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品种，从中任选一对品种组合，判定它们的遗传相似系数；若遗传相似系数大于或等于表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中所设定的实质性派生品种判定阈值，则判定授权日期更晚的品种可能为实质性派生品种。从表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可以看出，当实质性派生品种判定阈值为9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%时，</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判定为实质性派生品种的数量逐步稳定为最大值，</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个品种可能为实质性派生品种，占比</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17.53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%。对于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17.53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%现有育成品种可能被判定为实质性派生品种，有两点关键说明：a) 实质性派生品种制度设计的初衷是改变中国当前品种同质化严重的现象，因此，有一定比例的创新性不足的品种被判定为实质性派生品种是符合实质性派生品种制度的初衷的；b) 实质性派生品种制度实施后，模仿式育种行为预期会显著减少，因此，未来新育成品种被判定为实质性派生品种的比例会远低于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17.53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1EC68D31">
      <w:pPr>
        <w:pStyle w:val="5"/>
        <w:spacing w:line="360" w:lineRule="auto"/>
        <w:ind w:firstLine="480"/>
        <w:rPr>
          <w:rFonts w:hint="eastAsia" w:ascii="黑体" w:hAnsi="黑体" w:eastAsia="黑体" w:cs="黑体"/>
          <w:snapToGrid w:val="0"/>
          <w:color w:val="000000" w:themeColor="text1"/>
          <w:kern w:val="0"/>
          <w:sz w:val="24"/>
          <w14:textFill>
            <w14:solidFill>
              <w14:schemeClr w14:val="tx1"/>
            </w14:solidFill>
          </w14:textFill>
        </w:rPr>
      </w:pPr>
      <w:r>
        <w:rPr>
          <w:rFonts w:hint="eastAsia" w:ascii="黑体" w:hAnsi="黑体" w:eastAsia="黑体" w:cs="黑体"/>
          <w:snapToGrid w:val="0"/>
          <w:color w:val="000000" w:themeColor="text1"/>
          <w:kern w:val="0"/>
          <w:sz w:val="24"/>
          <w14:textFill>
            <w14:solidFill>
              <w14:schemeClr w14:val="tx1"/>
            </w14:solidFill>
          </w14:textFill>
        </w:rPr>
        <w:t>表8现有品种在各种判定阈值下，可能为实质性派生品种的数量与比例</w:t>
      </w:r>
    </w:p>
    <w:tbl>
      <w:tblPr>
        <w:tblStyle w:val="12"/>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6"/>
        <w:gridCol w:w="880"/>
        <w:gridCol w:w="1070"/>
        <w:gridCol w:w="878"/>
        <w:gridCol w:w="897"/>
        <w:gridCol w:w="897"/>
        <w:gridCol w:w="897"/>
        <w:gridCol w:w="897"/>
      </w:tblGrid>
      <w:tr w14:paraId="24D7DD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53BCF89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实质性派生品种阈值</w:t>
            </w:r>
          </w:p>
        </w:tc>
        <w:tc>
          <w:tcPr>
            <w:tcW w:w="516" w:type="pct"/>
            <w:noWrap/>
            <w:vAlign w:val="center"/>
          </w:tcPr>
          <w:p w14:paraId="547E3F4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99%</w:t>
            </w:r>
          </w:p>
        </w:tc>
        <w:tc>
          <w:tcPr>
            <w:tcW w:w="627" w:type="pct"/>
            <w:noWrap/>
            <w:vAlign w:val="center"/>
          </w:tcPr>
          <w:p w14:paraId="4B511904">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98%</w:t>
            </w:r>
          </w:p>
        </w:tc>
        <w:tc>
          <w:tcPr>
            <w:tcW w:w="515" w:type="pct"/>
            <w:noWrap/>
            <w:vAlign w:val="center"/>
          </w:tcPr>
          <w:p w14:paraId="65780D4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97%</w:t>
            </w:r>
          </w:p>
        </w:tc>
        <w:tc>
          <w:tcPr>
            <w:tcW w:w="526" w:type="pct"/>
            <w:noWrap/>
            <w:vAlign w:val="center"/>
          </w:tcPr>
          <w:p w14:paraId="635E445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96%</w:t>
            </w:r>
          </w:p>
        </w:tc>
        <w:tc>
          <w:tcPr>
            <w:tcW w:w="526" w:type="pct"/>
            <w:noWrap/>
            <w:vAlign w:val="center"/>
          </w:tcPr>
          <w:p w14:paraId="6C2580E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95%</w:t>
            </w:r>
          </w:p>
        </w:tc>
        <w:tc>
          <w:tcPr>
            <w:tcW w:w="526" w:type="pct"/>
            <w:noWrap/>
            <w:vAlign w:val="center"/>
          </w:tcPr>
          <w:p w14:paraId="15D2B79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94%</w:t>
            </w:r>
          </w:p>
        </w:tc>
        <w:tc>
          <w:tcPr>
            <w:tcW w:w="526" w:type="pct"/>
            <w:noWrap/>
            <w:vAlign w:val="center"/>
          </w:tcPr>
          <w:p w14:paraId="372847A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93%</w:t>
            </w:r>
          </w:p>
        </w:tc>
      </w:tr>
      <w:tr w14:paraId="0C2DEC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4325DD2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实质性派生品种数量</w:t>
            </w:r>
          </w:p>
        </w:tc>
        <w:tc>
          <w:tcPr>
            <w:tcW w:w="516" w:type="pct"/>
            <w:noWrap/>
            <w:vAlign w:val="center"/>
          </w:tcPr>
          <w:p w14:paraId="43D89DB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627" w:type="pct"/>
            <w:noWrap/>
            <w:vAlign w:val="center"/>
          </w:tcPr>
          <w:p w14:paraId="4A23764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515" w:type="pct"/>
            <w:noWrap/>
            <w:vAlign w:val="center"/>
          </w:tcPr>
          <w:p w14:paraId="397CDDB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526" w:type="pct"/>
            <w:noWrap/>
            <w:vAlign w:val="center"/>
          </w:tcPr>
          <w:p w14:paraId="06E89A1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526" w:type="pct"/>
            <w:noWrap/>
            <w:vAlign w:val="center"/>
          </w:tcPr>
          <w:p w14:paraId="27E61AF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526" w:type="pct"/>
            <w:noWrap/>
            <w:vAlign w:val="center"/>
          </w:tcPr>
          <w:p w14:paraId="02A2BCE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526" w:type="pct"/>
            <w:noWrap/>
            <w:vAlign w:val="center"/>
          </w:tcPr>
          <w:p w14:paraId="26B609A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12</w:t>
            </w:r>
          </w:p>
        </w:tc>
      </w:tr>
      <w:tr w14:paraId="465077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bottom w:val="single" w:color="auto" w:sz="4" w:space="0"/>
            </w:tcBorders>
            <w:noWrap/>
          </w:tcPr>
          <w:p w14:paraId="7142CE7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实质性派生品种比例</w:t>
            </w:r>
          </w:p>
        </w:tc>
        <w:tc>
          <w:tcPr>
            <w:tcW w:w="516" w:type="pct"/>
            <w:tcBorders>
              <w:bottom w:val="single" w:color="auto" w:sz="4" w:space="0"/>
            </w:tcBorders>
            <w:noWrap/>
            <w:vAlign w:val="center"/>
          </w:tcPr>
          <w:p w14:paraId="1FD19C3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14.94%</w:t>
            </w:r>
          </w:p>
        </w:tc>
        <w:tc>
          <w:tcPr>
            <w:tcW w:w="627" w:type="pct"/>
            <w:tcBorders>
              <w:bottom w:val="single" w:color="auto" w:sz="4" w:space="0"/>
            </w:tcBorders>
            <w:noWrap/>
            <w:vAlign w:val="center"/>
          </w:tcPr>
          <w:p w14:paraId="22FAD05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14.94%</w:t>
            </w:r>
          </w:p>
        </w:tc>
        <w:tc>
          <w:tcPr>
            <w:tcW w:w="515" w:type="pct"/>
            <w:tcBorders>
              <w:bottom w:val="single" w:color="auto" w:sz="4" w:space="0"/>
            </w:tcBorders>
            <w:noWrap/>
            <w:vAlign w:val="center"/>
          </w:tcPr>
          <w:p w14:paraId="4D487274">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14.94%</w:t>
            </w:r>
          </w:p>
        </w:tc>
        <w:tc>
          <w:tcPr>
            <w:tcW w:w="526" w:type="pct"/>
            <w:tcBorders>
              <w:bottom w:val="single" w:color="auto" w:sz="4" w:space="0"/>
            </w:tcBorders>
            <w:noWrap/>
            <w:vAlign w:val="center"/>
          </w:tcPr>
          <w:p w14:paraId="508F630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14.94%</w:t>
            </w:r>
          </w:p>
        </w:tc>
        <w:tc>
          <w:tcPr>
            <w:tcW w:w="526" w:type="pct"/>
            <w:tcBorders>
              <w:bottom w:val="single" w:color="auto" w:sz="4" w:space="0"/>
            </w:tcBorders>
            <w:noWrap/>
            <w:vAlign w:val="center"/>
          </w:tcPr>
          <w:p w14:paraId="7E129C0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16.24%</w:t>
            </w:r>
          </w:p>
        </w:tc>
        <w:tc>
          <w:tcPr>
            <w:tcW w:w="526" w:type="pct"/>
            <w:tcBorders>
              <w:bottom w:val="single" w:color="auto" w:sz="4" w:space="0"/>
            </w:tcBorders>
            <w:noWrap/>
            <w:vAlign w:val="center"/>
          </w:tcPr>
          <w:p w14:paraId="562BA65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16.24%</w:t>
            </w:r>
          </w:p>
        </w:tc>
        <w:tc>
          <w:tcPr>
            <w:tcW w:w="526" w:type="pct"/>
            <w:tcBorders>
              <w:bottom w:val="single" w:color="auto" w:sz="4" w:space="0"/>
            </w:tcBorders>
            <w:noWrap/>
            <w:vAlign w:val="center"/>
          </w:tcPr>
          <w:p w14:paraId="5C0F8DA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16.24%</w:t>
            </w:r>
          </w:p>
        </w:tc>
      </w:tr>
      <w:tr w14:paraId="0AB771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top w:val="single" w:color="auto" w:sz="4" w:space="0"/>
            </w:tcBorders>
            <w:noWrap/>
          </w:tcPr>
          <w:p w14:paraId="5473E60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实质性派生品种阈值</w:t>
            </w:r>
          </w:p>
        </w:tc>
        <w:tc>
          <w:tcPr>
            <w:tcW w:w="516" w:type="pct"/>
            <w:tcBorders>
              <w:top w:val="single" w:color="auto" w:sz="4" w:space="0"/>
            </w:tcBorders>
            <w:noWrap/>
            <w:vAlign w:val="center"/>
          </w:tcPr>
          <w:p w14:paraId="75C4730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92%</w:t>
            </w:r>
          </w:p>
        </w:tc>
        <w:tc>
          <w:tcPr>
            <w:tcW w:w="627" w:type="pct"/>
            <w:tcBorders>
              <w:top w:val="single" w:color="auto" w:sz="4" w:space="0"/>
            </w:tcBorders>
            <w:noWrap/>
            <w:vAlign w:val="center"/>
          </w:tcPr>
          <w:p w14:paraId="5098549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91%</w:t>
            </w:r>
          </w:p>
        </w:tc>
        <w:tc>
          <w:tcPr>
            <w:tcW w:w="515" w:type="pct"/>
            <w:tcBorders>
              <w:top w:val="single" w:color="auto" w:sz="4" w:space="0"/>
            </w:tcBorders>
            <w:noWrap/>
            <w:vAlign w:val="center"/>
          </w:tcPr>
          <w:p w14:paraId="52194693">
            <w:pPr>
              <w:widowControl/>
              <w:jc w:val="center"/>
              <w:rPr>
                <w:rFonts w:hint="default" w:ascii="Times New Roman" w:hAnsi="Times New Roman" w:eastAsia="宋体" w:cs="Times New Roman"/>
                <w:color w:val="0000FF"/>
                <w:kern w:val="0"/>
                <w:sz w:val="21"/>
                <w:szCs w:val="21"/>
              </w:rPr>
            </w:pPr>
            <w:r>
              <w:rPr>
                <w:rFonts w:hint="eastAsia" w:ascii="Times New Roman" w:hAnsi="Times New Roman" w:eastAsia="宋体" w:cs="Times New Roman"/>
                <w:color w:val="0000FF"/>
                <w:kern w:val="0"/>
                <w:sz w:val="21"/>
                <w:szCs w:val="21"/>
                <w:lang w:val="en-US" w:eastAsia="zh-CN"/>
              </w:rPr>
              <w:t>90%</w:t>
            </w:r>
          </w:p>
        </w:tc>
        <w:tc>
          <w:tcPr>
            <w:tcW w:w="526" w:type="pct"/>
            <w:tcBorders>
              <w:top w:val="single" w:color="auto" w:sz="4" w:space="0"/>
            </w:tcBorders>
            <w:noWrap/>
            <w:vAlign w:val="center"/>
          </w:tcPr>
          <w:p w14:paraId="7C0EBBF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89%</w:t>
            </w:r>
          </w:p>
        </w:tc>
        <w:tc>
          <w:tcPr>
            <w:tcW w:w="526" w:type="pct"/>
            <w:tcBorders>
              <w:top w:val="single" w:color="auto" w:sz="4" w:space="0"/>
            </w:tcBorders>
            <w:noWrap/>
            <w:vAlign w:val="center"/>
          </w:tcPr>
          <w:p w14:paraId="122EB12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88%</w:t>
            </w:r>
          </w:p>
        </w:tc>
        <w:tc>
          <w:tcPr>
            <w:tcW w:w="526" w:type="pct"/>
            <w:tcBorders>
              <w:top w:val="single" w:color="auto" w:sz="4" w:space="0"/>
            </w:tcBorders>
            <w:noWrap/>
            <w:vAlign w:val="center"/>
          </w:tcPr>
          <w:p w14:paraId="43CDCC3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87%</w:t>
            </w:r>
          </w:p>
        </w:tc>
        <w:tc>
          <w:tcPr>
            <w:tcW w:w="526" w:type="pct"/>
            <w:tcBorders>
              <w:top w:val="single" w:color="auto" w:sz="4" w:space="0"/>
            </w:tcBorders>
            <w:noWrap/>
            <w:vAlign w:val="center"/>
          </w:tcPr>
          <w:p w14:paraId="70F1286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86%</w:t>
            </w:r>
          </w:p>
        </w:tc>
      </w:tr>
      <w:tr w14:paraId="650D08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4E2F1F1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实质性派生品种数量</w:t>
            </w:r>
          </w:p>
        </w:tc>
        <w:tc>
          <w:tcPr>
            <w:tcW w:w="516" w:type="pct"/>
            <w:noWrap/>
            <w:vAlign w:val="center"/>
          </w:tcPr>
          <w:p w14:paraId="4A7E662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627" w:type="pct"/>
            <w:noWrap/>
            <w:vAlign w:val="center"/>
          </w:tcPr>
          <w:p w14:paraId="549B6DC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515" w:type="pct"/>
            <w:noWrap/>
            <w:vAlign w:val="center"/>
          </w:tcPr>
          <w:p w14:paraId="3AE0D1F6">
            <w:pPr>
              <w:widowControl/>
              <w:jc w:val="center"/>
              <w:rPr>
                <w:rFonts w:hint="default" w:ascii="Times New Roman" w:hAnsi="Times New Roman" w:eastAsia="宋体" w:cs="Times New Roman"/>
                <w:color w:val="0000FF"/>
                <w:kern w:val="0"/>
                <w:sz w:val="21"/>
                <w:szCs w:val="21"/>
              </w:rPr>
            </w:pPr>
            <w:r>
              <w:rPr>
                <w:rFonts w:hint="eastAsia" w:ascii="Times New Roman" w:hAnsi="Times New Roman" w:eastAsia="宋体" w:cs="Times New Roman"/>
                <w:color w:val="0000FF"/>
                <w:kern w:val="0"/>
                <w:sz w:val="21"/>
                <w:szCs w:val="21"/>
                <w:lang w:val="en-US" w:eastAsia="zh-CN"/>
              </w:rPr>
              <w:t>13</w:t>
            </w:r>
          </w:p>
        </w:tc>
        <w:tc>
          <w:tcPr>
            <w:tcW w:w="526" w:type="pct"/>
            <w:noWrap/>
            <w:vAlign w:val="center"/>
          </w:tcPr>
          <w:p w14:paraId="41A7CBE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628CFB2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68A098E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019577A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r>
      <w:tr w14:paraId="037D5E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bottom w:val="single" w:color="auto" w:sz="4" w:space="0"/>
            </w:tcBorders>
            <w:noWrap/>
          </w:tcPr>
          <w:p w14:paraId="5C42FA7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实质性派生品种比例</w:t>
            </w:r>
          </w:p>
        </w:tc>
        <w:tc>
          <w:tcPr>
            <w:tcW w:w="516" w:type="pct"/>
            <w:tcBorders>
              <w:bottom w:val="single" w:color="auto" w:sz="4" w:space="0"/>
            </w:tcBorders>
            <w:noWrap/>
            <w:vAlign w:val="center"/>
          </w:tcPr>
          <w:p w14:paraId="2BCC83D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16.24%</w:t>
            </w:r>
          </w:p>
        </w:tc>
        <w:tc>
          <w:tcPr>
            <w:tcW w:w="627" w:type="pct"/>
            <w:tcBorders>
              <w:bottom w:val="single" w:color="auto" w:sz="4" w:space="0"/>
            </w:tcBorders>
            <w:noWrap/>
            <w:vAlign w:val="center"/>
          </w:tcPr>
          <w:p w14:paraId="7DDE961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16.24%</w:t>
            </w:r>
          </w:p>
        </w:tc>
        <w:tc>
          <w:tcPr>
            <w:tcW w:w="515" w:type="pct"/>
            <w:tcBorders>
              <w:bottom w:val="single" w:color="auto" w:sz="4" w:space="0"/>
            </w:tcBorders>
            <w:noWrap/>
            <w:vAlign w:val="center"/>
          </w:tcPr>
          <w:p w14:paraId="3DF25410">
            <w:pPr>
              <w:widowControl/>
              <w:jc w:val="center"/>
              <w:rPr>
                <w:rFonts w:hint="default" w:ascii="Times New Roman" w:hAnsi="Times New Roman" w:eastAsia="宋体" w:cs="Times New Roman"/>
                <w:color w:val="0000FF"/>
                <w:kern w:val="0"/>
                <w:sz w:val="21"/>
                <w:szCs w:val="21"/>
              </w:rPr>
            </w:pPr>
            <w:r>
              <w:rPr>
                <w:rFonts w:hint="eastAsia" w:ascii="Times New Roman" w:hAnsi="Times New Roman" w:eastAsia="宋体" w:cs="Times New Roman"/>
                <w:color w:val="0000FF"/>
                <w:kern w:val="0"/>
                <w:sz w:val="21"/>
                <w:szCs w:val="21"/>
                <w:lang w:val="en-US" w:eastAsia="zh-CN"/>
              </w:rPr>
              <w:t>17.53%</w:t>
            </w:r>
          </w:p>
        </w:tc>
        <w:tc>
          <w:tcPr>
            <w:tcW w:w="526" w:type="pct"/>
            <w:tcBorders>
              <w:bottom w:val="single" w:color="auto" w:sz="4" w:space="0"/>
            </w:tcBorders>
            <w:noWrap/>
            <w:vAlign w:val="center"/>
          </w:tcPr>
          <w:p w14:paraId="4898207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79D3944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59C55AF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684AD584">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r>
      <w:tr w14:paraId="7D5344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top w:val="single" w:color="auto" w:sz="4" w:space="0"/>
            </w:tcBorders>
            <w:noWrap/>
          </w:tcPr>
          <w:p w14:paraId="201FEB7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实质性派生品种阈值</w:t>
            </w:r>
          </w:p>
        </w:tc>
        <w:tc>
          <w:tcPr>
            <w:tcW w:w="516" w:type="pct"/>
            <w:tcBorders>
              <w:top w:val="single" w:color="auto" w:sz="4" w:space="0"/>
            </w:tcBorders>
            <w:noWrap/>
            <w:vAlign w:val="center"/>
          </w:tcPr>
          <w:p w14:paraId="7A302D4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85%</w:t>
            </w:r>
          </w:p>
        </w:tc>
        <w:tc>
          <w:tcPr>
            <w:tcW w:w="627" w:type="pct"/>
            <w:tcBorders>
              <w:top w:val="single" w:color="auto" w:sz="4" w:space="0"/>
            </w:tcBorders>
            <w:noWrap/>
            <w:vAlign w:val="center"/>
          </w:tcPr>
          <w:p w14:paraId="559488E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84%</w:t>
            </w:r>
          </w:p>
        </w:tc>
        <w:tc>
          <w:tcPr>
            <w:tcW w:w="515" w:type="pct"/>
            <w:tcBorders>
              <w:top w:val="single" w:color="auto" w:sz="4" w:space="0"/>
            </w:tcBorders>
            <w:noWrap/>
            <w:vAlign w:val="center"/>
          </w:tcPr>
          <w:p w14:paraId="50E4B2E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83%</w:t>
            </w:r>
          </w:p>
        </w:tc>
        <w:tc>
          <w:tcPr>
            <w:tcW w:w="526" w:type="pct"/>
            <w:tcBorders>
              <w:top w:val="single" w:color="auto" w:sz="4" w:space="0"/>
            </w:tcBorders>
            <w:noWrap/>
            <w:vAlign w:val="center"/>
          </w:tcPr>
          <w:p w14:paraId="4916A89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82%</w:t>
            </w:r>
          </w:p>
        </w:tc>
        <w:tc>
          <w:tcPr>
            <w:tcW w:w="526" w:type="pct"/>
            <w:tcBorders>
              <w:top w:val="single" w:color="auto" w:sz="4" w:space="0"/>
            </w:tcBorders>
            <w:noWrap/>
            <w:vAlign w:val="center"/>
          </w:tcPr>
          <w:p w14:paraId="5FEC401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81%</w:t>
            </w:r>
          </w:p>
        </w:tc>
        <w:tc>
          <w:tcPr>
            <w:tcW w:w="526" w:type="pct"/>
            <w:tcBorders>
              <w:top w:val="single" w:color="auto" w:sz="4" w:space="0"/>
            </w:tcBorders>
            <w:noWrap/>
            <w:vAlign w:val="center"/>
          </w:tcPr>
          <w:p w14:paraId="6F9D67A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80%</w:t>
            </w:r>
          </w:p>
        </w:tc>
        <w:tc>
          <w:tcPr>
            <w:tcW w:w="526" w:type="pct"/>
            <w:tcBorders>
              <w:top w:val="single" w:color="auto" w:sz="4" w:space="0"/>
            </w:tcBorders>
            <w:noWrap/>
            <w:vAlign w:val="center"/>
          </w:tcPr>
          <w:p w14:paraId="249D784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79%</w:t>
            </w:r>
          </w:p>
        </w:tc>
      </w:tr>
      <w:tr w14:paraId="05275B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15F81A6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实质性派生品种数量</w:t>
            </w:r>
          </w:p>
        </w:tc>
        <w:tc>
          <w:tcPr>
            <w:tcW w:w="516" w:type="pct"/>
            <w:noWrap/>
            <w:vAlign w:val="center"/>
          </w:tcPr>
          <w:p w14:paraId="437A8E4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627" w:type="pct"/>
            <w:noWrap/>
            <w:vAlign w:val="center"/>
          </w:tcPr>
          <w:p w14:paraId="1CB6DF6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15" w:type="pct"/>
            <w:noWrap/>
            <w:vAlign w:val="center"/>
          </w:tcPr>
          <w:p w14:paraId="4D51903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3769E7C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53F60AD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7D7CA8E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77B176B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r>
      <w:tr w14:paraId="6878A1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bottom w:val="single" w:color="auto" w:sz="4" w:space="0"/>
            </w:tcBorders>
            <w:noWrap/>
          </w:tcPr>
          <w:p w14:paraId="1121EC4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实质性派生品种比例</w:t>
            </w:r>
          </w:p>
        </w:tc>
        <w:tc>
          <w:tcPr>
            <w:tcW w:w="516" w:type="pct"/>
            <w:tcBorders>
              <w:bottom w:val="single" w:color="auto" w:sz="4" w:space="0"/>
            </w:tcBorders>
            <w:noWrap/>
            <w:vAlign w:val="center"/>
          </w:tcPr>
          <w:p w14:paraId="75FD8CD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627" w:type="pct"/>
            <w:tcBorders>
              <w:bottom w:val="single" w:color="auto" w:sz="4" w:space="0"/>
            </w:tcBorders>
            <w:noWrap/>
            <w:vAlign w:val="center"/>
          </w:tcPr>
          <w:p w14:paraId="7E760C1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15" w:type="pct"/>
            <w:tcBorders>
              <w:bottom w:val="single" w:color="auto" w:sz="4" w:space="0"/>
            </w:tcBorders>
            <w:noWrap/>
            <w:vAlign w:val="center"/>
          </w:tcPr>
          <w:p w14:paraId="29E81DC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4B27550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23B2442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2FE64B0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073D81E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r>
      <w:tr w14:paraId="1715FB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top w:val="single" w:color="auto" w:sz="4" w:space="0"/>
            </w:tcBorders>
            <w:noWrap/>
          </w:tcPr>
          <w:p w14:paraId="0FE13250">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实质性派生品种阈值</w:t>
            </w:r>
          </w:p>
        </w:tc>
        <w:tc>
          <w:tcPr>
            <w:tcW w:w="516" w:type="pct"/>
            <w:tcBorders>
              <w:top w:val="single" w:color="auto" w:sz="4" w:space="0"/>
            </w:tcBorders>
            <w:noWrap/>
            <w:vAlign w:val="center"/>
          </w:tcPr>
          <w:p w14:paraId="2817794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78%</w:t>
            </w:r>
          </w:p>
        </w:tc>
        <w:tc>
          <w:tcPr>
            <w:tcW w:w="627" w:type="pct"/>
            <w:tcBorders>
              <w:top w:val="single" w:color="auto" w:sz="4" w:space="0"/>
            </w:tcBorders>
            <w:noWrap/>
            <w:vAlign w:val="center"/>
          </w:tcPr>
          <w:p w14:paraId="307F7E3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77%</w:t>
            </w:r>
          </w:p>
        </w:tc>
        <w:tc>
          <w:tcPr>
            <w:tcW w:w="515" w:type="pct"/>
            <w:tcBorders>
              <w:top w:val="single" w:color="auto" w:sz="4" w:space="0"/>
            </w:tcBorders>
            <w:noWrap/>
            <w:vAlign w:val="center"/>
          </w:tcPr>
          <w:p w14:paraId="71E036C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76%</w:t>
            </w:r>
          </w:p>
        </w:tc>
        <w:tc>
          <w:tcPr>
            <w:tcW w:w="526" w:type="pct"/>
            <w:tcBorders>
              <w:top w:val="single" w:color="auto" w:sz="4" w:space="0"/>
            </w:tcBorders>
            <w:noWrap/>
            <w:vAlign w:val="center"/>
          </w:tcPr>
          <w:p w14:paraId="2BEBFD4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75%</w:t>
            </w:r>
          </w:p>
        </w:tc>
        <w:tc>
          <w:tcPr>
            <w:tcW w:w="526" w:type="pct"/>
            <w:tcBorders>
              <w:top w:val="single" w:color="auto" w:sz="4" w:space="0"/>
            </w:tcBorders>
            <w:noWrap/>
            <w:vAlign w:val="center"/>
          </w:tcPr>
          <w:p w14:paraId="7C31937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74%</w:t>
            </w:r>
          </w:p>
        </w:tc>
        <w:tc>
          <w:tcPr>
            <w:tcW w:w="526" w:type="pct"/>
            <w:tcBorders>
              <w:top w:val="single" w:color="auto" w:sz="4" w:space="0"/>
            </w:tcBorders>
            <w:noWrap/>
            <w:vAlign w:val="center"/>
          </w:tcPr>
          <w:p w14:paraId="18958DB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73%</w:t>
            </w:r>
          </w:p>
        </w:tc>
        <w:tc>
          <w:tcPr>
            <w:tcW w:w="526" w:type="pct"/>
            <w:tcBorders>
              <w:top w:val="single" w:color="auto" w:sz="4" w:space="0"/>
            </w:tcBorders>
            <w:noWrap/>
            <w:vAlign w:val="center"/>
          </w:tcPr>
          <w:p w14:paraId="7B4D19B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72%</w:t>
            </w:r>
          </w:p>
        </w:tc>
      </w:tr>
      <w:tr w14:paraId="4D6876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5A92F29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实质性派生品种数量</w:t>
            </w:r>
          </w:p>
        </w:tc>
        <w:tc>
          <w:tcPr>
            <w:tcW w:w="516" w:type="pct"/>
            <w:noWrap/>
            <w:vAlign w:val="center"/>
          </w:tcPr>
          <w:p w14:paraId="7C49CD8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627" w:type="pct"/>
            <w:noWrap/>
            <w:vAlign w:val="center"/>
          </w:tcPr>
          <w:p w14:paraId="6C8A832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15" w:type="pct"/>
            <w:noWrap/>
            <w:vAlign w:val="center"/>
          </w:tcPr>
          <w:p w14:paraId="115DC94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0BB656F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313C4BE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7172E84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07FBBE8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r>
      <w:tr w14:paraId="6EC6F9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bottom w:val="single" w:color="auto" w:sz="4" w:space="0"/>
            </w:tcBorders>
            <w:noWrap/>
          </w:tcPr>
          <w:p w14:paraId="4CD466E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实质性派生品种比例</w:t>
            </w:r>
          </w:p>
        </w:tc>
        <w:tc>
          <w:tcPr>
            <w:tcW w:w="516" w:type="pct"/>
            <w:tcBorders>
              <w:bottom w:val="single" w:color="auto" w:sz="4" w:space="0"/>
            </w:tcBorders>
            <w:noWrap/>
            <w:vAlign w:val="center"/>
          </w:tcPr>
          <w:p w14:paraId="471704A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627" w:type="pct"/>
            <w:tcBorders>
              <w:bottom w:val="single" w:color="auto" w:sz="4" w:space="0"/>
            </w:tcBorders>
            <w:noWrap/>
            <w:vAlign w:val="center"/>
          </w:tcPr>
          <w:p w14:paraId="19D085B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15" w:type="pct"/>
            <w:tcBorders>
              <w:bottom w:val="single" w:color="auto" w:sz="4" w:space="0"/>
            </w:tcBorders>
            <w:noWrap/>
            <w:vAlign w:val="center"/>
          </w:tcPr>
          <w:p w14:paraId="6F72AE8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567D732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2A2B9FA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0398022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78BEBB9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r>
      <w:tr w14:paraId="09F29A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top w:val="single" w:color="auto" w:sz="4" w:space="0"/>
            </w:tcBorders>
            <w:noWrap/>
          </w:tcPr>
          <w:p w14:paraId="31E73662">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实质性派生品种阈值</w:t>
            </w:r>
          </w:p>
        </w:tc>
        <w:tc>
          <w:tcPr>
            <w:tcW w:w="516" w:type="pct"/>
            <w:tcBorders>
              <w:top w:val="single" w:color="auto" w:sz="4" w:space="0"/>
            </w:tcBorders>
            <w:noWrap/>
            <w:vAlign w:val="center"/>
          </w:tcPr>
          <w:p w14:paraId="1E259A2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71%</w:t>
            </w:r>
          </w:p>
        </w:tc>
        <w:tc>
          <w:tcPr>
            <w:tcW w:w="627" w:type="pct"/>
            <w:tcBorders>
              <w:top w:val="single" w:color="auto" w:sz="4" w:space="0"/>
            </w:tcBorders>
            <w:noWrap/>
            <w:vAlign w:val="center"/>
          </w:tcPr>
          <w:p w14:paraId="773FC38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70%</w:t>
            </w:r>
          </w:p>
        </w:tc>
        <w:tc>
          <w:tcPr>
            <w:tcW w:w="515" w:type="pct"/>
            <w:tcBorders>
              <w:top w:val="single" w:color="auto" w:sz="4" w:space="0"/>
            </w:tcBorders>
            <w:noWrap/>
            <w:vAlign w:val="center"/>
          </w:tcPr>
          <w:p w14:paraId="428DE01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69%</w:t>
            </w:r>
          </w:p>
        </w:tc>
        <w:tc>
          <w:tcPr>
            <w:tcW w:w="526" w:type="pct"/>
            <w:tcBorders>
              <w:top w:val="single" w:color="auto" w:sz="4" w:space="0"/>
            </w:tcBorders>
            <w:noWrap/>
            <w:vAlign w:val="center"/>
          </w:tcPr>
          <w:p w14:paraId="179AC86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68%</w:t>
            </w:r>
          </w:p>
        </w:tc>
        <w:tc>
          <w:tcPr>
            <w:tcW w:w="526" w:type="pct"/>
            <w:tcBorders>
              <w:top w:val="single" w:color="auto" w:sz="4" w:space="0"/>
            </w:tcBorders>
            <w:noWrap/>
            <w:vAlign w:val="center"/>
          </w:tcPr>
          <w:p w14:paraId="4CF7675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67%</w:t>
            </w:r>
          </w:p>
        </w:tc>
        <w:tc>
          <w:tcPr>
            <w:tcW w:w="526" w:type="pct"/>
            <w:tcBorders>
              <w:top w:val="single" w:color="auto" w:sz="4" w:space="0"/>
            </w:tcBorders>
            <w:noWrap/>
            <w:vAlign w:val="center"/>
          </w:tcPr>
          <w:p w14:paraId="3825F5C1">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66%</w:t>
            </w:r>
          </w:p>
        </w:tc>
        <w:tc>
          <w:tcPr>
            <w:tcW w:w="526" w:type="pct"/>
            <w:tcBorders>
              <w:top w:val="single" w:color="auto" w:sz="4" w:space="0"/>
            </w:tcBorders>
            <w:noWrap/>
            <w:vAlign w:val="center"/>
          </w:tcPr>
          <w:p w14:paraId="3EA154F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65%</w:t>
            </w:r>
          </w:p>
        </w:tc>
      </w:tr>
      <w:tr w14:paraId="546E5D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noWrap/>
          </w:tcPr>
          <w:p w14:paraId="384FBCB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实质性派生品种数量</w:t>
            </w:r>
          </w:p>
        </w:tc>
        <w:tc>
          <w:tcPr>
            <w:tcW w:w="516" w:type="pct"/>
            <w:noWrap/>
            <w:vAlign w:val="center"/>
          </w:tcPr>
          <w:p w14:paraId="0300634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627" w:type="pct"/>
            <w:noWrap/>
            <w:vAlign w:val="center"/>
          </w:tcPr>
          <w:p w14:paraId="64BE862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15" w:type="pct"/>
            <w:noWrap/>
            <w:vAlign w:val="center"/>
          </w:tcPr>
          <w:p w14:paraId="32D3482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0FEE1DD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55C7CA0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151DC5A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526" w:type="pct"/>
            <w:noWrap/>
            <w:vAlign w:val="center"/>
          </w:tcPr>
          <w:p w14:paraId="384FEE44">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13</w:t>
            </w:r>
          </w:p>
        </w:tc>
      </w:tr>
      <w:tr w14:paraId="7EEAC3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5" w:type="pct"/>
            <w:tcBorders>
              <w:bottom w:val="single" w:color="auto" w:sz="4" w:space="0"/>
            </w:tcBorders>
            <w:noWrap/>
          </w:tcPr>
          <w:p w14:paraId="5076DF0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实质性派生品种比例</w:t>
            </w:r>
          </w:p>
        </w:tc>
        <w:tc>
          <w:tcPr>
            <w:tcW w:w="516" w:type="pct"/>
            <w:tcBorders>
              <w:bottom w:val="single" w:color="auto" w:sz="4" w:space="0"/>
            </w:tcBorders>
            <w:noWrap/>
            <w:vAlign w:val="center"/>
          </w:tcPr>
          <w:p w14:paraId="6F3C05B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627" w:type="pct"/>
            <w:tcBorders>
              <w:bottom w:val="single" w:color="auto" w:sz="4" w:space="0"/>
            </w:tcBorders>
            <w:noWrap/>
            <w:vAlign w:val="center"/>
          </w:tcPr>
          <w:p w14:paraId="6A2B97F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15" w:type="pct"/>
            <w:tcBorders>
              <w:bottom w:val="single" w:color="auto" w:sz="4" w:space="0"/>
            </w:tcBorders>
            <w:noWrap/>
            <w:vAlign w:val="center"/>
          </w:tcPr>
          <w:p w14:paraId="1B69D53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55417964">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7AF46CA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02A7458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c>
          <w:tcPr>
            <w:tcW w:w="526" w:type="pct"/>
            <w:tcBorders>
              <w:bottom w:val="single" w:color="auto" w:sz="4" w:space="0"/>
            </w:tcBorders>
            <w:noWrap/>
            <w:vAlign w:val="center"/>
          </w:tcPr>
          <w:p w14:paraId="6063DED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17.53%</w:t>
            </w:r>
          </w:p>
        </w:tc>
      </w:tr>
    </w:tbl>
    <w:p w14:paraId="5B56CBEF">
      <w:pPr>
        <w:pStyle w:val="5"/>
        <w:tabs>
          <w:tab w:val="left" w:pos="1560"/>
        </w:tabs>
        <w:spacing w:line="360" w:lineRule="auto"/>
        <w:ind w:firstLineChars="0"/>
        <w:rPr>
          <w:rFonts w:hint="default" w:ascii="Times New Roman" w:hAnsi="Times New Roman" w:cs="Times New Roman" w:eastAsiaTheme="minorEastAsia"/>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w:t>
      </w:r>
      <w:r>
        <w:rPr>
          <w:rFonts w:hint="eastAsia" w:ascii="Times New Roman" w:cs="Times New Roman" w:eastAsiaTheme="minorEastAsia"/>
          <w:b/>
          <w:snapToGrid w:val="0"/>
          <w:color w:val="000000" w:themeColor="text1"/>
          <w:kern w:val="0"/>
          <w:sz w:val="24"/>
          <w:lang w:val="en-US" w:eastAsia="zh-CN"/>
          <w14:textFill>
            <w14:solidFill>
              <w14:schemeClr w14:val="tx1"/>
            </w14:solidFill>
          </w14:textFill>
        </w:rPr>
        <w:t>5</w:t>
      </w:r>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w:t>
      </w:r>
      <w:bookmarkStart w:id="18" w:name="_Hlk143674182"/>
      <w:r>
        <w:rPr>
          <w:rFonts w:hint="default" w:ascii="Times New Roman" w:hAnsi="Times New Roman" w:cs="Times New Roman" w:eastAsiaTheme="minorEastAsia"/>
          <w:b/>
          <w:snapToGrid w:val="0"/>
          <w:color w:val="000000" w:themeColor="text1"/>
          <w:kern w:val="0"/>
          <w:sz w:val="24"/>
          <w14:textFill>
            <w14:solidFill>
              <w14:schemeClr w14:val="tx1"/>
            </w14:solidFill>
          </w14:textFill>
        </w:rPr>
        <w:t>根据UPOV和ISF等国际组织制定实质性派生品种判定阈值需要综合考虑科学、现状、需求等因素的基本原则，本标准将实质性派生品种判定阈值确定为92%</w:t>
      </w:r>
      <w:bookmarkEnd w:id="18"/>
    </w:p>
    <w:p w14:paraId="10CDE92C">
      <w:pPr>
        <w:pStyle w:val="5"/>
        <w:spacing w:line="360" w:lineRule="auto"/>
        <w:ind w:firstLine="482"/>
        <w:rPr>
          <w:rFonts w:hint="default" w:ascii="Times New Roman" w:hAnsi="Times New Roman" w:cs="Times New Roman" w:eastAsiaTheme="minorEastAsia"/>
          <w:snapToGrid w:val="0"/>
          <w:color w:val="000000" w:themeColor="text1"/>
          <w:kern w:val="0"/>
          <w:sz w:val="24"/>
          <w14:textFill>
            <w14:solidFill>
              <w14:schemeClr w14:val="tx1"/>
            </w14:solidFill>
          </w14:textFill>
        </w:rPr>
      </w:pPr>
      <w:bookmarkStart w:id="19" w:name="_Hlk143678607"/>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仅考虑科学因素，实质性派生品种的判定阈值应设置在8</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97</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%到9</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6</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%之间</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。实质性派生品种为新品种，因此，其判定阈值应小于国家标准中规定的新品种判定阈值，即96%。按照文献中实质性派生品种判定阈值的确定方法（校对规则，calibration principle），结合二项式分布理论和育种实例，推断出实质性派生品种判定阈值应设置在8</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%到9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.7</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%之间，可以在99%的概率保障下，正确区分实质性派生和非实质性派生的育种行为。</w:t>
      </w:r>
    </w:p>
    <w:p w14:paraId="434B82A0">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科学因素结合行业共识，确定本标准中实质性派生品种判定阈值为9</w:t>
      </w:r>
      <w:r>
        <w:rPr>
          <w:rFonts w:hint="eastAsia" w:ascii="Times New Roman" w:cs="Times New Roman" w:eastAsiaTheme="minorEastAsia"/>
          <w:b/>
          <w:bCs/>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。UPOV和ISF认为实质性派生品种判定阈值应结合种业国情、行业共识等因素，做出具体规定并定期调整。实际上，ISF制定的实质性派生品种判定阈值并不固定，介于82%到96%之间</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其中</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国际无性繁殖园艺植物育种者协会（CIOPORA）建议遗传相似系数90%作为举证责任转移的阈值。90%判定阈值也在科学因素确定的范围（8</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97</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%到9</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6</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%）内，因此被采纳为本标准的判定阈值。</w:t>
      </w:r>
    </w:p>
    <w:p w14:paraId="5BCD7D3A">
      <w:pPr>
        <w:pStyle w:val="5"/>
        <w:spacing w:line="360" w:lineRule="auto"/>
        <w:ind w:firstLine="482"/>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本标准确定的实质性派生品种判定阈值，较好地平衡了种业创新与种业稳定</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。在本标准的判定阈值下，假设我国在未来依旧保持过往同质化较为严重的育种创新水平，将有</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17.53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%的育成品种被判定成为实质性派生品种，但预计实质性派生品种制度将显著改善我国品种同质化现象，因而未来育成的</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品种被判定为实质性派生品种的概率将远低于</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17.53</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%，能较好地平衡种业创新与种业稳定。</w:t>
      </w:r>
    </w:p>
    <w:bookmarkEnd w:id="19"/>
    <w:p w14:paraId="566B5EC1">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1</w:t>
      </w: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2</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.关于实质性派生品种判定的结果表述</w:t>
      </w:r>
    </w:p>
    <w:p w14:paraId="6E9636CC">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本标准规定，当遗传相似度（GS）大于或等于9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%时，结果表述为待测品种与对照品种</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为</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疑似实质性派生品种</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。采用“</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疑似</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一词是因为存在例外，例如：（1）若待测品种培育时间早于对照品种，则不是对照品种的实质性派生品种；（2）若待测品种和对照品种均来源于同一杂交组合分离后代的姊妹系，也不是对照品种的实质性派生品种；（3）《种子法》依据性状来定义实质性派生品种，且分子与性状并非一一对应，因此，分子不能作为实质性派生品种判定的充分条件。在国际实质性派生品种司法实践中，遗传相似度常用于确定举证责任，而非作为判定实质性派生品种的充分证据。</w:t>
      </w:r>
    </w:p>
    <w:p w14:paraId="19E28A7B">
      <w:pPr>
        <w:pStyle w:val="5"/>
        <w:spacing w:line="360" w:lineRule="auto"/>
        <w:ind w:firstLine="482"/>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1</w:t>
      </w: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3</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.关于品种鉴定的判定阈值</w:t>
      </w:r>
    </w:p>
    <w:p w14:paraId="10F8337F">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种子法》依据性状，将新品种定义为已知品种间至少有一个性状的差异的品种。然而，分子标记差异与性状差异大多不存在一一对应关系，只能在一定概率保障下具有对应关系。当分子标记差异较大时，至少有一个性状差异的概率也高，判定其为不同品种的概率保障也高；同理，当分子标记差异较小时，至少有一个性状差异的概率就低，可以有一定的概率保障判定它们为相同品种。需要指出的是，即分子标记差异为0，也可能因为差异基因不是检测标记等原因导致待测品种与对照品种存在性状差异，难以绝对保障两个品种间没有性状差异。</w:t>
      </w:r>
    </w:p>
    <w:p w14:paraId="4DC5B9C8">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基于上述理由，</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并综合</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品种培育</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过程中产生的</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突变</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、退化等因素，</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本标准中将不同品种的遗传相似度阈值确定为96%，主要有以下两个方面的依据：</w:t>
      </w:r>
    </w:p>
    <w:p w14:paraId="23E53880">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（1）现有SSR标记法品种鉴定行业标准</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SNP标记法品种鉴定行业标准</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MNP标记法品种鉴定国家标准中</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判定不同品种的遗传相似度的阈值</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多</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为96%。</w:t>
      </w:r>
    </w:p>
    <w:p w14:paraId="31C1D89D">
      <w:pPr>
        <w:pStyle w:val="5"/>
        <w:spacing w:line="360" w:lineRule="auto"/>
        <w:ind w:firstLine="48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检测的2926对育成品种中，除去芽变品种，</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品种间遗传相似系数均低于96%</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其中不同品种间的遗传相似系数最大值为95.19%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。可见96%的判定阈值下，</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通过本标准方法</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不同品种可以被判定为不同品种。</w:t>
      </w:r>
    </w:p>
    <w:p w14:paraId="2E9F2657">
      <w:pPr>
        <w:pStyle w:val="5"/>
        <w:spacing w:line="360" w:lineRule="auto"/>
        <w:ind w:firstLine="480"/>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1</w:t>
      </w:r>
      <w:r>
        <w:rPr>
          <w:rFonts w:hint="eastAsia" w:ascii="Times New Roman" w:hAnsi="Times New Roman" w:cs="Times New Roman" w:eastAsiaTheme="minorEastAsia"/>
          <w:b/>
          <w:bCs/>
          <w:snapToGrid w:val="0"/>
          <w:color w:val="000000" w:themeColor="text1"/>
          <w:kern w:val="0"/>
          <w:sz w:val="24"/>
          <w:lang w:val="en-US" w:eastAsia="zh-CN"/>
          <w14:textFill>
            <w14:solidFill>
              <w14:schemeClr w14:val="tx1"/>
            </w14:solidFill>
          </w14:textFill>
        </w:rPr>
        <w:t>4</w:t>
      </w:r>
      <w:r>
        <w:rPr>
          <w:rFonts w:hint="default" w:ascii="Times New Roman" w:hAnsi="Times New Roman" w:cs="Times New Roman" w:eastAsiaTheme="minorEastAsia"/>
          <w:b/>
          <w:bCs/>
          <w:snapToGrid w:val="0"/>
          <w:color w:val="000000" w:themeColor="text1"/>
          <w:kern w:val="0"/>
          <w:sz w:val="24"/>
          <w14:textFill>
            <w14:solidFill>
              <w14:schemeClr w14:val="tx1"/>
            </w14:solidFill>
          </w14:textFill>
        </w:rPr>
        <w:t>. 关于数据分析软件</w:t>
      </w:r>
    </w:p>
    <w:p w14:paraId="126F24B4">
      <w:pPr>
        <w:pStyle w:val="5"/>
        <w:spacing w:line="360" w:lineRule="auto"/>
        <w:ind w:firstLine="480"/>
        <w:rPr>
          <w:rFonts w:hint="default" w:ascii="Times New Roman" w:hAnsi="Times New Roman" w:cs="Times New Roman"/>
          <w:snapToGrid w:val="0"/>
          <w:color w:val="auto"/>
          <w:kern w:val="0"/>
          <w:sz w:val="24"/>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标准文本“8 质量控制”和“9 数据分析”中，已经公开了数据比对、记录和计算的规则与公式，并在附录B中以示例形式详细阐述了分析的流程，有专业背景的标准使用者可以自行按规则与公式编制软件。对于数据分析能力较弱的使用者，研制单位已经上线数据分析软件，网址为http://mnp.molecularbreeding.cn/，用户只用上传待测样品和对照样品的高通量测序数据，即可获得数据分析结果和品种鉴定结论，因此，不影响标准使用。</w:t>
      </w:r>
    </w:p>
    <w:p w14:paraId="33B37583">
      <w:pPr>
        <w:pStyle w:val="5"/>
        <w:tabs>
          <w:tab w:val="left" w:pos="2105"/>
          <w:tab w:val="clear" w:pos="2268"/>
        </w:tabs>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14:textFill>
            <w14:solidFill>
              <w14:schemeClr w14:val="tx1"/>
            </w14:solidFill>
          </w14:textFill>
        </w:rPr>
        <w:t>三、试验验证的分析、综述报告，技术经济论证，预期的经济</w:t>
      </w: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效益、社会效益和生态效益</w:t>
      </w:r>
    </w:p>
    <w:p w14:paraId="7B47B668">
      <w:pPr>
        <w:spacing w:line="360" w:lineRule="auto"/>
        <w:ind w:firstLine="482" w:firstLineChars="200"/>
        <w:rPr>
          <w:rFonts w:hint="default" w:ascii="Times New Roman" w:hAnsi="Times New Roman" w:eastAsia="楷体" w:cs="Times New Roman"/>
          <w:b/>
          <w:bCs/>
          <w:color w:val="000000" w:themeColor="text1"/>
          <w:sz w:val="24"/>
          <w:szCs w:val="24"/>
          <w14:textFill>
            <w14:solidFill>
              <w14:schemeClr w14:val="tx1"/>
            </w14:solidFill>
          </w14:textFill>
        </w:rPr>
      </w:pPr>
      <w:r>
        <w:rPr>
          <w:rFonts w:hint="default" w:ascii="Times New Roman" w:hAnsi="Times New Roman" w:eastAsia="楷体" w:cs="Times New Roman"/>
          <w:b/>
          <w:bCs/>
          <w:color w:val="000000" w:themeColor="text1"/>
          <w:sz w:val="24"/>
          <w:szCs w:val="24"/>
          <w14:textFill>
            <w14:solidFill>
              <w14:schemeClr w14:val="tx1"/>
            </w14:solidFill>
          </w14:textFill>
        </w:rPr>
        <w:t>（一）试验验证的分析、综述报告</w:t>
      </w:r>
    </w:p>
    <w:p w14:paraId="227A77E3">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草案试验验证单位共6家，分别为江苏徐淮地区徐州农业科学研究所、石家庄博瑞迪生物技术有限公司、上海市农业科学院食用菌研究所、巴彦淖尔市农牧业科学研究所、中国农业科学院油料作物研究所和农业农村部植物新品种测试（昆明）分中心；标准验证所用的实验材料均为</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叶片</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，由</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中国农业科学院果树研究所</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和</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湖北省农业科学院果树茶叶研究所</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提供。</w:t>
      </w:r>
    </w:p>
    <w:p w14:paraId="6E1A47C8">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验证结果包括（每家单位获得其中数项验证结果）：</w:t>
      </w:r>
    </w:p>
    <w:p w14:paraId="6D1DEC45">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bookmarkStart w:id="20" w:name="_Hlk143693226"/>
      <w:r>
        <w:rPr>
          <w:rFonts w:hint="default" w:ascii="Times New Roman" w:hAnsi="Times New Roman" w:cs="Times New Roman" w:eastAsiaTheme="minorEastAsia"/>
          <w:snapToGrid w:val="0"/>
          <w:color w:val="000000" w:themeColor="text1"/>
          <w:kern w:val="0"/>
          <w:sz w:val="24"/>
          <w14:textFill>
            <w14:solidFill>
              <w14:schemeClr w14:val="tx1"/>
            </w14:solidFill>
          </w14:textFill>
        </w:rPr>
        <w:t>（1）利用该标准草案，一次多重PCR扩增了标准规定每个品种需要检测的所有标记位点，一次高通量测序检测</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所有待测样品的</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标记位点；</w:t>
      </w:r>
    </w:p>
    <w:p w14:paraId="75D1CB57">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（2）获得的样品测序数据全部通过了标准草案规定的质量控制标准，通过率均为100%；</w:t>
      </w:r>
    </w:p>
    <w:p w14:paraId="0F82EECE">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（3）标记检出率为9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5</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29</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0%；</w:t>
      </w:r>
    </w:p>
    <w:p w14:paraId="438EAC34">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（4）标记分型重现率为99.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65</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99.80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w:t>
      </w:r>
    </w:p>
    <w:p w14:paraId="1725BCC5">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（5）品种</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鉴定</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和实质性派生品种判定结论重现率均为100%。</w:t>
      </w:r>
    </w:p>
    <w:p w14:paraId="334AA3FE">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6家单位验证结论包括：该标准草案具备适用性；依据该标准草案规定的DNA提取方法、PCR扩增反应条件、扩增片段检测方法等，可在不同实验室间得出高度一致的品种鉴定和实质性派生品种鉴定结论。</w:t>
      </w:r>
      <w:bookmarkEnd w:id="20"/>
    </w:p>
    <w:p w14:paraId="2AB04F07">
      <w:pPr>
        <w:spacing w:line="360" w:lineRule="auto"/>
        <w:ind w:firstLine="482" w:firstLineChars="200"/>
        <w:rPr>
          <w:rFonts w:hint="default" w:ascii="Times New Roman" w:hAnsi="Times New Roman" w:eastAsia="楷体" w:cs="Times New Roman"/>
          <w:b/>
          <w:bCs/>
          <w:color w:val="000000" w:themeColor="text1"/>
          <w:sz w:val="24"/>
          <w:szCs w:val="24"/>
          <w14:textFill>
            <w14:solidFill>
              <w14:schemeClr w14:val="tx1"/>
            </w14:solidFill>
          </w14:textFill>
        </w:rPr>
      </w:pPr>
      <w:r>
        <w:rPr>
          <w:rFonts w:hint="default" w:ascii="Times New Roman" w:hAnsi="Times New Roman" w:eastAsia="楷体" w:cs="Times New Roman"/>
          <w:b/>
          <w:bCs/>
          <w:color w:val="000000" w:themeColor="text1"/>
          <w:sz w:val="24"/>
          <w:szCs w:val="24"/>
          <w14:textFill>
            <w14:solidFill>
              <w14:schemeClr w14:val="tx1"/>
            </w14:solidFill>
          </w14:textFill>
        </w:rPr>
        <w:t>（二）技术经济论证</w:t>
      </w:r>
    </w:p>
    <w:p w14:paraId="025482D2">
      <w:pPr>
        <w:pStyle w:val="5"/>
        <w:spacing w:line="360" w:lineRule="auto"/>
        <w:ind w:firstLine="48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本标准采用MNP标记法，经过多位院士和专家鉴定评价，认为该技术填补了国内外实用精准高效植物品种DNA鉴定技术空白，整体达到国际领先水平</w:t>
      </w:r>
      <w:r>
        <w:rPr>
          <w:rFonts w:hint="default" w:ascii="Times New Roman" w:hAnsi="Times New Roman" w:cs="Times New Roman" w:eastAsiaTheme="minorEastAsia"/>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snapToGrid w:val="0"/>
          <w:kern w:val="0"/>
          <w:sz w:val="24"/>
          <w:lang w:val="en-US" w:eastAsia="zh-CN"/>
        </w:rPr>
        <w:t>相比于其它品种鉴定行业标准</w:t>
      </w:r>
      <w:r>
        <w:rPr>
          <w:rFonts w:hint="default" w:ascii="Times New Roman" w:hAnsi="Times New Roman" w:cs="Times New Roman" w:eastAsiaTheme="minorEastAsia"/>
          <w:snapToGrid w:val="0"/>
          <w:kern w:val="0"/>
          <w:sz w:val="24"/>
        </w:rPr>
        <w:t>一次</w:t>
      </w:r>
      <w:r>
        <w:rPr>
          <w:rFonts w:hint="default" w:ascii="Times New Roman" w:hAnsi="Times New Roman" w:cs="Times New Roman" w:eastAsiaTheme="minorEastAsia"/>
          <w:snapToGrid w:val="0"/>
          <w:kern w:val="0"/>
          <w:sz w:val="24"/>
          <w:lang w:val="en-US" w:eastAsia="zh-CN"/>
        </w:rPr>
        <w:t>只能</w:t>
      </w:r>
      <w:r>
        <w:rPr>
          <w:rFonts w:hint="default" w:ascii="Times New Roman" w:hAnsi="Times New Roman" w:cs="Times New Roman" w:eastAsiaTheme="minorEastAsia"/>
          <w:snapToGrid w:val="0"/>
          <w:kern w:val="0"/>
          <w:sz w:val="24"/>
        </w:rPr>
        <w:t>扩增一个</w:t>
      </w:r>
      <w:r>
        <w:rPr>
          <w:rFonts w:hint="default" w:ascii="Times New Roman" w:hAnsi="Times New Roman" w:cs="Times New Roman" w:eastAsiaTheme="minorEastAsia"/>
          <w:snapToGrid w:val="0"/>
          <w:kern w:val="0"/>
          <w:sz w:val="24"/>
          <w:lang w:val="en-US" w:eastAsia="zh-CN"/>
        </w:rPr>
        <w:t>或少量几个</w:t>
      </w:r>
      <w:r>
        <w:rPr>
          <w:rFonts w:hint="default" w:ascii="Times New Roman" w:hAnsi="Times New Roman" w:cs="Times New Roman" w:eastAsiaTheme="minorEastAsia"/>
          <w:snapToGrid w:val="0"/>
          <w:kern w:val="0"/>
          <w:sz w:val="24"/>
        </w:rPr>
        <w:t>标记，本标准采用超多重扩增，</w:t>
      </w:r>
      <w:r>
        <w:rPr>
          <w:rFonts w:hint="eastAsia" w:ascii="Times New Roman" w:cs="Times New Roman" w:eastAsiaTheme="minorEastAsia"/>
          <w:snapToGrid w:val="0"/>
          <w:kern w:val="0"/>
          <w:sz w:val="24"/>
          <w:lang w:val="en-US" w:eastAsia="zh-CN"/>
        </w:rPr>
        <w:t>310</w:t>
      </w:r>
      <w:r>
        <w:rPr>
          <w:rFonts w:hint="default" w:ascii="Times New Roman" w:hAnsi="Times New Roman" w:cs="Times New Roman" w:eastAsiaTheme="minorEastAsia"/>
          <w:snapToGrid w:val="0"/>
          <w:kern w:val="0"/>
          <w:sz w:val="24"/>
        </w:rPr>
        <w:t>个标记仅需要2次PCR扩增和纯化程序即可，工作效率提升数百倍；传统方法需要逐个检测和分析，</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采用高通量测序技术和计算机软件分析技术，单次可自动检测和分析数百个以上的品种和十万个以上的标记，检测和分析的效率高，自动化水平高；每个标记位点的测序数据量平均覆盖达到500条序列以上，每条序列精确到单个碱基，检测结果准确率达99.</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80</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%以上</w:t>
      </w:r>
      <w:r>
        <w:rPr>
          <w:rFonts w:hint="default" w:ascii="Times New Roman" w:hAnsi="Times New Roman" w:cs="Times New Roman" w:eastAsiaTheme="minorEastAsia"/>
          <w:snapToGrid w:val="0"/>
          <w:color w:val="000000" w:themeColor="text1"/>
          <w:kern w:val="0"/>
          <w:sz w:val="24"/>
          <w:lang w:eastAsia="zh-CN"/>
          <w14:textFill>
            <w14:solidFill>
              <w14:schemeClr w14:val="tx1"/>
            </w14:solidFill>
          </w14:textFill>
        </w:rPr>
        <w:t>，</w:t>
      </w:r>
      <w:r>
        <w:rPr>
          <w:rFonts w:hint="default" w:ascii="Times New Roman" w:hAnsi="Times New Roman" w:cs="Times New Roman" w:eastAsiaTheme="minorEastAsia"/>
          <w:snapToGrid w:val="0"/>
          <w:kern w:val="0"/>
          <w:sz w:val="24"/>
        </w:rPr>
        <w:t>首次突破了品种鉴定精准数字化的技术难题，不再需要统一实验条件，不再要求实验技术人员具有丰富的经验，也不要求标准样品实物或参照样品实物进行平行实验，有利于检测结果的数字化、网络化和智能化，有利于本标准在种业行业的推广应用。</w:t>
      </w:r>
    </w:p>
    <w:p w14:paraId="220FE0C3">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此外，</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实施</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只要求实验</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区域</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分区、</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过程</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单向流动、设备器具专用且保持通风，这些要求在普通实验室可以满足，提高了本标准实施可行性，可以在更多实验室更方便地实施。</w:t>
      </w:r>
    </w:p>
    <w:p w14:paraId="7005953B">
      <w:pPr>
        <w:numPr>
          <w:ilvl w:val="0"/>
          <w:numId w:val="1"/>
        </w:numPr>
        <w:spacing w:line="360" w:lineRule="auto"/>
        <w:ind w:left="0" w:leftChars="0" w:firstLine="482" w:firstLineChars="200"/>
        <w:rPr>
          <w:rFonts w:hint="default" w:ascii="Times New Roman" w:hAnsi="Times New Roman" w:eastAsia="楷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楷体" w:cs="Times New Roman"/>
          <w:b/>
          <w:bCs/>
          <w:color w:val="000000" w:themeColor="text1"/>
          <w:sz w:val="24"/>
          <w:szCs w:val="24"/>
          <w:lang w:val="en-US" w:eastAsia="zh-CN"/>
          <w14:textFill>
            <w14:solidFill>
              <w14:schemeClr w14:val="tx1"/>
            </w14:solidFill>
          </w14:textFill>
        </w:rPr>
        <w:t>预期的经济效益、社会效益和生态效益</w:t>
      </w:r>
    </w:p>
    <w:p w14:paraId="3621855D">
      <w:pPr>
        <w:pStyle w:val="5"/>
        <w:spacing w:line="360" w:lineRule="auto"/>
        <w:ind w:firstLine="480"/>
        <w:rPr>
          <w:rFonts w:hint="default" w:ascii="Times New Roman" w:hAnsi="Times New Roman" w:eastAsia="楷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本标准发布实施后，可以规范对</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品种和实质性派生品种鉴定所进行的测试，为</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新品种权保护提供有效的依据，支撑我国新种子法中实质性派生品种制度的实施。本标准制定不但可以对我国拥有自主知识产权的</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新品种进行保护，还可对国外</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品种的引进和利用进行规范管理，促进</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新品种贸易，促进我国</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育种和</w:t>
      </w:r>
      <w:r>
        <w:rPr>
          <w:rFonts w:hint="eastAsia" w:ascii="Times New Roman" w:cs="Times New Roman" w:eastAsiaTheme="minorEastAsia"/>
          <w:snapToGrid w:val="0"/>
          <w:color w:val="000000" w:themeColor="text1"/>
          <w:kern w:val="0"/>
          <w:sz w:val="24"/>
          <w:lang w:eastAsia="zh-CN"/>
          <w14:textFill>
            <w14:solidFill>
              <w14:schemeClr w14:val="tx1"/>
            </w14:solidFill>
          </w14:textFill>
        </w:rPr>
        <w:t>梨</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品种知识产权保护工作的发展。</w:t>
      </w:r>
    </w:p>
    <w:p w14:paraId="536C3E1C">
      <w:pPr>
        <w:pStyle w:val="5"/>
        <w:numPr>
          <w:ilvl w:val="0"/>
          <w:numId w:val="2"/>
        </w:numPr>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与国际、国外同类标准技术内容的对比情况，或者与测试的国外样品、样机的有关数据对比情况</w:t>
      </w:r>
    </w:p>
    <w:p w14:paraId="00D6D7F4">
      <w:pPr>
        <w:pStyle w:val="5"/>
        <w:spacing w:line="360" w:lineRule="auto"/>
        <w:ind w:firstLine="480"/>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国际、国外</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尚未有系统、高效、准确的</w:t>
      </w:r>
      <w:r>
        <w:rPr>
          <w:rFonts w:hint="eastAsia" w:ascii="Times New Roman" w:cs="Times New Roman" w:eastAsiaTheme="minorEastAsia"/>
          <w:snapToGrid w:val="0"/>
          <w:color w:val="000000" w:themeColor="text1"/>
          <w:kern w:val="0"/>
          <w:sz w:val="24"/>
          <w:lang w:val="en-US" w:eastAsia="zh-CN"/>
          <w14:textFill>
            <w14:solidFill>
              <w14:schemeClr w14:val="tx1"/>
            </w14:solidFill>
          </w14:textFill>
        </w:rPr>
        <w:t>梨</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实质性派生品种分子标记鉴定技术体系的报道</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w:t>
      </w:r>
    </w:p>
    <w:p w14:paraId="7768DA59">
      <w:pPr>
        <w:pStyle w:val="5"/>
        <w:numPr>
          <w:ilvl w:val="0"/>
          <w:numId w:val="2"/>
        </w:numPr>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以国际标准为基础的起草情况，以及是否合规引用或者采用国际国外标准，并说明未采用国际标准的原因</w:t>
      </w:r>
    </w:p>
    <w:p w14:paraId="41A9DD85">
      <w:pPr>
        <w:pStyle w:val="5"/>
        <w:spacing w:line="360" w:lineRule="auto"/>
        <w:ind w:firstLine="480"/>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未以国际标准为基础起草。</w:t>
      </w:r>
    </w:p>
    <w:p w14:paraId="74CACB6F">
      <w:pPr>
        <w:pStyle w:val="5"/>
        <w:numPr>
          <w:ilvl w:val="0"/>
          <w:numId w:val="2"/>
        </w:numPr>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与有关法律、行政法规及相关标准的关系</w:t>
      </w:r>
    </w:p>
    <w:p w14:paraId="644E6CD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文本内容与现行法律、</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行政</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法规</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及相关标准</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不发生冲突，符合我国有关法律、法规和经济发展、科学技术发展的方针、政策的要求。目前国内暂无与本文件内容相关的强制性标准。</w:t>
      </w:r>
    </w:p>
    <w:p w14:paraId="770AC080">
      <w:pPr>
        <w:pStyle w:val="5"/>
        <w:numPr>
          <w:ilvl w:val="0"/>
          <w:numId w:val="2"/>
        </w:numPr>
        <w:spacing w:line="360" w:lineRule="auto"/>
        <w:ind w:left="0" w:leftChars="0" w:firstLine="480" w:firstLineChars="200"/>
        <w:rPr>
          <w:rFonts w:hint="default" w:ascii="Times New Roman" w:hAnsi="Times New Roman" w:eastAsia="黑体" w:cs="Times New Roman"/>
          <w:bCs/>
          <w:color w:val="000000" w:themeColor="text1"/>
          <w:kern w:val="44"/>
          <w:sz w:val="24"/>
          <w14:textFill>
            <w14:solidFill>
              <w14:schemeClr w14:val="tx1"/>
            </w14:solidFill>
          </w14:textFill>
        </w:rPr>
      </w:pPr>
      <w:r>
        <w:rPr>
          <w:rFonts w:hint="default" w:ascii="Times New Roman" w:hAnsi="Times New Roman" w:eastAsia="黑体" w:cs="Times New Roman"/>
          <w:bCs/>
          <w:color w:val="000000" w:themeColor="text1"/>
          <w:kern w:val="44"/>
          <w:sz w:val="24"/>
          <w14:textFill>
            <w14:solidFill>
              <w14:schemeClr w14:val="tx1"/>
            </w14:solidFill>
          </w14:textFill>
        </w:rPr>
        <w:t>重大分歧意见的处理经过和依据</w:t>
      </w:r>
    </w:p>
    <w:p w14:paraId="4909B696">
      <w:pPr>
        <w:pStyle w:val="5"/>
        <w:spacing w:line="360" w:lineRule="auto"/>
        <w:ind w:firstLine="480"/>
        <w:rPr>
          <w:rFonts w:hint="eastAsia"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pPr>
      <w:r>
        <w:rPr>
          <w:rFonts w:hint="eastAsia"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无</w:t>
      </w:r>
    </w:p>
    <w:p w14:paraId="0C4AD497">
      <w:pPr>
        <w:pStyle w:val="5"/>
        <w:numPr>
          <w:ilvl w:val="0"/>
          <w:numId w:val="0"/>
        </w:numPr>
        <w:spacing w:line="360" w:lineRule="auto"/>
        <w:ind w:left="0" w:leftChars="0" w:firstLine="480" w:firstLineChars="200"/>
        <w:rPr>
          <w:rFonts w:hint="default" w:ascii="Times New Roman" w:hAnsi="Times New Roman" w:eastAsia="黑体" w:cs="Times New Roman"/>
          <w:bCs/>
          <w:color w:val="000000" w:themeColor="text1"/>
          <w:kern w:val="44"/>
          <w:sz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szCs w:val="24"/>
          <w:highlight w:val="none"/>
          <w:lang w:val="en-US" w:eastAsia="zh-CN" w:bidi="ar-SA"/>
          <w14:textFill>
            <w14:solidFill>
              <w14:schemeClr w14:val="tx1"/>
            </w14:solidFill>
          </w14:textFill>
        </w:rPr>
        <w:t>八、</w:t>
      </w:r>
      <w:r>
        <w:rPr>
          <w:rFonts w:hint="default" w:ascii="Times New Roman" w:hAnsi="Times New Roman" w:eastAsia="黑体" w:cs="Times New Roman"/>
          <w:bCs/>
          <w:color w:val="000000" w:themeColor="text1"/>
          <w:kern w:val="44"/>
          <w:sz w:val="24"/>
          <w:highlight w:val="none"/>
          <w:lang w:val="en-US" w:eastAsia="zh-CN"/>
          <w14:textFill>
            <w14:solidFill>
              <w14:schemeClr w14:val="tx1"/>
            </w14:solidFill>
          </w14:textFill>
        </w:rPr>
        <w:t>涉及专利的有关说明</w:t>
      </w:r>
    </w:p>
    <w:p w14:paraId="636DE0C0">
      <w:pPr>
        <w:pStyle w:val="5"/>
        <w:spacing w:line="360" w:lineRule="auto"/>
        <w:ind w:firstLine="480"/>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本文件</w:t>
      </w:r>
      <w:r>
        <w:rPr>
          <w:rFonts w:hint="eastAsia" w:ascii="Times New Roman" w:cs="Times New Roman" w:eastAsiaTheme="minorEastAsia"/>
          <w:snapToGrid w:val="0"/>
          <w:color w:val="000000" w:themeColor="text1"/>
          <w:kern w:val="0"/>
          <w:sz w:val="24"/>
          <w:highlight w:val="none"/>
          <w:lang w:val="en-US" w:eastAsia="zh-CN"/>
          <w14:textFill>
            <w14:solidFill>
              <w14:schemeClr w14:val="tx1"/>
            </w14:solidFill>
          </w14:textFill>
        </w:rPr>
        <w:t>所采用的310个MNP标记位点与标准编制单位江汉大学的发明专利“用于梨品种鉴定的MNP标记位点、引物组合物和试剂盒及其应用（专利号ZL202110977722.2）”中部分相同，标准编制单位承诺标准的使用不受专利限制</w:t>
      </w: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w:t>
      </w:r>
    </w:p>
    <w:p w14:paraId="50C0434C">
      <w:pPr>
        <w:pStyle w:val="5"/>
        <w:spacing w:line="360" w:lineRule="auto"/>
        <w:ind w:firstLine="480"/>
        <w:rPr>
          <w:rFonts w:hint="default" w:ascii="Times New Roman" w:hAnsi="Times New Roman" w:eastAsia="黑体" w:cs="Times New Roman"/>
          <w:bCs/>
          <w:color w:val="000000" w:themeColor="text1"/>
          <w:kern w:val="44"/>
          <w:sz w:val="24"/>
          <w:lang w:val="en-US" w:eastAsia="zh-CN"/>
          <w14:textFill>
            <w14:solidFill>
              <w14:schemeClr w14:val="tx1"/>
            </w14:solidFill>
          </w14:textFill>
        </w:rPr>
      </w:pPr>
      <w:r>
        <w:rPr>
          <w:rFonts w:hint="default" w:ascii="Times New Roman" w:hAnsi="Times New Roman" w:eastAsia="黑体" w:cs="Times New Roman"/>
          <w:bCs/>
          <w:color w:val="000000" w:themeColor="text1"/>
          <w:kern w:val="44"/>
          <w:sz w:val="24"/>
          <w:lang w:val="en-US" w:eastAsia="zh-CN"/>
          <w14:textFill>
            <w14:solidFill>
              <w14:schemeClr w14:val="tx1"/>
            </w14:solidFill>
          </w14:textFill>
        </w:rPr>
        <w:t>九、实施行业标准的要求，以及组织措施、技术措施、过渡期和实施日期的建议等措施建议</w:t>
      </w:r>
    </w:p>
    <w:p w14:paraId="7F8A4B61">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本</w:t>
      </w:r>
      <w:r>
        <w:rPr>
          <w:rFonts w:hint="eastAsia" w:ascii="Times New Roman" w:hAnsi="Times New Roman" w:cs="Times New Roman" w:eastAsiaTheme="minorEastAsia"/>
          <w:snapToGrid w:val="0"/>
          <w:color w:val="000000" w:themeColor="text1"/>
          <w:kern w:val="0"/>
          <w:sz w:val="24"/>
          <w:lang w:val="en-US" w:eastAsia="zh-CN"/>
          <w14:textFill>
            <w14:solidFill>
              <w14:schemeClr w14:val="tx1"/>
            </w14:solidFill>
          </w14:textFill>
        </w:rPr>
        <w:t>文件</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作为我国品种鉴定标准，为品种</w:t>
      </w:r>
      <w:r>
        <w:rPr>
          <w:rFonts w:hint="default" w:ascii="Times New Roman" w:hAnsi="Times New Roman" w:cs="Times New Roman" w:eastAsiaTheme="minorEastAsia"/>
          <w:snapToGrid w:val="0"/>
          <w:color w:val="000000" w:themeColor="text1"/>
          <w:kern w:val="0"/>
          <w:sz w:val="24"/>
          <w:lang w:val="en-US" w:eastAsia="zh-CN"/>
          <w14:textFill>
            <w14:solidFill>
              <w14:schemeClr w14:val="tx1"/>
            </w14:solidFill>
          </w14:textFill>
        </w:rPr>
        <w:t>鉴定</w:t>
      </w:r>
      <w:r>
        <w:rPr>
          <w:rFonts w:hint="default" w:ascii="Times New Roman" w:hAnsi="Times New Roman" w:cs="Times New Roman" w:eastAsiaTheme="minorEastAsia"/>
          <w:snapToGrid w:val="0"/>
          <w:color w:val="000000" w:themeColor="text1"/>
          <w:kern w:val="0"/>
          <w:sz w:val="24"/>
          <w14:textFill>
            <w14:solidFill>
              <w14:schemeClr w14:val="tx1"/>
            </w14:solidFill>
          </w14:textFill>
        </w:rPr>
        <w:t>和实质性派生品种鉴定提供了技术指导，建议作为推荐性标准发布。实质性派生品种制度是一个全新制度，MNP标记法也是一个相对较新的标记方法，建议对其它有意愿开展实质性派生品种鉴定的机构检测人员进行理论和实操的培训，以更好地实施和应用标准。</w:t>
      </w:r>
    </w:p>
    <w:p w14:paraId="77FB1786">
      <w:pPr>
        <w:pStyle w:val="5"/>
        <w:spacing w:line="360" w:lineRule="auto"/>
        <w:ind w:firstLine="480"/>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highlight w:val="none"/>
          <w:lang w:val="en-US" w:eastAsia="zh-CN"/>
          <w14:textFill>
            <w14:solidFill>
              <w14:schemeClr w14:val="tx1"/>
            </w14:solidFill>
          </w14:textFill>
        </w:rPr>
        <w:t>目前新种子法颁布已两年，为尽快落实种子法中实质性派生品种制度，建议尽快实施该标准，为制度的实施提供充足的技术保障。</w:t>
      </w:r>
    </w:p>
    <w:p w14:paraId="6495544D">
      <w:pPr>
        <w:pStyle w:val="5"/>
        <w:spacing w:line="360" w:lineRule="auto"/>
        <w:ind w:firstLine="480"/>
        <w:rPr>
          <w:rFonts w:hint="default" w:ascii="Times New Roman" w:hAnsi="Times New Roman" w:eastAsia="黑体" w:cs="Times New Roman"/>
          <w:bCs/>
          <w:color w:val="000000" w:themeColor="text1"/>
          <w:kern w:val="44"/>
          <w:sz w:val="24"/>
          <w14:textFill>
            <w14:solidFill>
              <w14:schemeClr w14:val="tx1"/>
            </w14:solidFill>
          </w14:textFill>
        </w:rPr>
      </w:pPr>
      <w:r>
        <w:rPr>
          <w:rFonts w:hint="default" w:ascii="Times New Roman" w:hAnsi="Times New Roman" w:eastAsia="黑体" w:cs="Times New Roman"/>
          <w:bCs/>
          <w:color w:val="000000" w:themeColor="text1"/>
          <w:kern w:val="44"/>
          <w:sz w:val="24"/>
          <w14:textFill>
            <w14:solidFill>
              <w14:schemeClr w14:val="tx1"/>
            </w14:solidFill>
          </w14:textFill>
        </w:rPr>
        <w:t>十、其它应于说明的事项</w:t>
      </w:r>
    </w:p>
    <w:p w14:paraId="25892DCE">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无。</w:t>
      </w:r>
    </w:p>
    <w:p w14:paraId="11809547">
      <w:pPr>
        <w:pStyle w:val="5"/>
        <w:spacing w:line="360" w:lineRule="auto"/>
        <w:ind w:firstLine="480"/>
        <w:rPr>
          <w:rFonts w:hint="default" w:ascii="Times New Roman" w:hAnsi="Times New Roman" w:cs="Times New Roman" w:eastAsiaTheme="minorEastAsia"/>
          <w:snapToGrid w:val="0"/>
          <w:color w:val="000000" w:themeColor="text1"/>
          <w:kern w:val="0"/>
          <w:sz w:val="24"/>
          <w14:textFill>
            <w14:solidFill>
              <w14:schemeClr w14:val="tx1"/>
            </w14:solidFill>
          </w14:textFill>
        </w:rPr>
      </w:pPr>
    </w:p>
    <w:p w14:paraId="77237B7E">
      <w:pPr>
        <w:pStyle w:val="33"/>
        <w:spacing w:before="124" w:after="156"/>
        <w:rPr>
          <w:rFonts w:hint="default" w:ascii="Times New Roman" w:hAnsi="Times New Roman" w:cs="Times New Roman"/>
          <w:color w:val="000000" w:themeColor="text1"/>
          <w14:textFill>
            <w14:solidFill>
              <w14:schemeClr w14:val="tx1"/>
            </w14:solidFill>
          </w14:textFill>
        </w:rPr>
      </w:pPr>
      <w:bookmarkStart w:id="21" w:name="_Toc71811691"/>
      <w:bookmarkStart w:id="22" w:name="_Toc71881416"/>
      <w:bookmarkStart w:id="23" w:name="_Toc71880403"/>
      <w:bookmarkStart w:id="24" w:name="_Toc72162096"/>
      <w:bookmarkStart w:id="25" w:name="_Toc94084210"/>
      <w:r>
        <w:rPr>
          <w:rFonts w:hint="default" w:ascii="Times New Roman" w:hAnsi="Times New Roman" w:cs="Times New Roman"/>
          <w:color w:val="000000" w:themeColor="text1"/>
          <w:spacing w:val="105"/>
          <w14:textFill>
            <w14:solidFill>
              <w14:schemeClr w14:val="tx1"/>
            </w14:solidFill>
          </w14:textFill>
        </w:rPr>
        <w:t>参考文</w:t>
      </w:r>
      <w:r>
        <w:rPr>
          <w:rFonts w:hint="default" w:ascii="Times New Roman" w:hAnsi="Times New Roman" w:cs="Times New Roman"/>
          <w:color w:val="000000" w:themeColor="text1"/>
          <w14:textFill>
            <w14:solidFill>
              <w14:schemeClr w14:val="tx1"/>
            </w14:solidFill>
          </w14:textFill>
        </w:rPr>
        <w:t>献</w:t>
      </w:r>
      <w:bookmarkEnd w:id="21"/>
      <w:bookmarkEnd w:id="22"/>
      <w:bookmarkEnd w:id="23"/>
      <w:bookmarkEnd w:id="24"/>
      <w:bookmarkEnd w:id="25"/>
    </w:p>
    <w:p w14:paraId="48244D1A">
      <w:pPr>
        <w:pStyle w:val="5"/>
        <w:numPr>
          <w:ilvl w:val="0"/>
          <w:numId w:val="3"/>
        </w:numPr>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bookmarkStart w:id="26" w:name="_Hlk142032520"/>
      <w:r>
        <w:rPr>
          <w:rFonts w:hint="default" w:ascii="Times New Roman" w:hAnsi="Times New Roman" w:cs="Times New Roman" w:eastAsiaTheme="minorEastAsia"/>
          <w:snapToGrid w:val="0"/>
          <w:color w:val="000000" w:themeColor="text1"/>
          <w:kern w:val="0"/>
          <w:sz w:val="24"/>
          <w14:textFill>
            <w14:solidFill>
              <w14:schemeClr w14:val="tx1"/>
            </w14:solidFill>
          </w14:textFill>
        </w:rPr>
        <w:t>Enrico Noli</w:t>
      </w:r>
      <w:bookmarkEnd w:id="26"/>
      <w:r>
        <w:rPr>
          <w:rFonts w:hint="default" w:ascii="Times New Roman" w:hAnsi="Times New Roman" w:cs="Times New Roman" w:eastAsiaTheme="minorEastAsia"/>
          <w:snapToGrid w:val="0"/>
          <w:color w:val="000000" w:themeColor="text1"/>
          <w:kern w:val="0"/>
          <w:sz w:val="24"/>
          <w14:textFill>
            <w14:solidFill>
              <w14:schemeClr w14:val="tx1"/>
            </w14:solidFill>
          </w14:textFill>
        </w:rPr>
        <w:t>, Maria Soccorsa Teriaca, Sergio Conti, and K. Gill, 2013, Criteria for the Definition of Similarity Thresholds for Identifying Essentially Derived Varieties, Plant Breeding, 132, 525-31.</w:t>
      </w:r>
    </w:p>
    <w:p w14:paraId="7690C24C">
      <w:pPr>
        <w:pStyle w:val="5"/>
        <w:numPr>
          <w:ilvl w:val="0"/>
          <w:numId w:val="3"/>
        </w:numPr>
        <w:spacing w:line="360" w:lineRule="auto"/>
        <w:ind w:firstLineChars="0"/>
        <w:rPr>
          <w:rFonts w:hint="default" w:ascii="Times New Roman" w:hAnsi="Times New Roman" w:cs="Times New Roman" w:eastAsiaTheme="minorEastAsia"/>
          <w:snapToGrid w:val="0"/>
          <w:color w:val="000000" w:themeColor="text1"/>
          <w:kern w:val="0"/>
          <w:sz w:val="24"/>
          <w14:textFill>
            <w14:solidFill>
              <w14:schemeClr w14:val="tx1"/>
            </w14:solidFill>
          </w14:textFill>
        </w:rPr>
      </w:pPr>
      <w:r>
        <w:rPr>
          <w:rFonts w:hint="default" w:ascii="Times New Roman" w:hAnsi="Times New Roman" w:cs="Times New Roman" w:eastAsiaTheme="minorEastAsia"/>
          <w:snapToGrid w:val="0"/>
          <w:color w:val="000000" w:themeColor="text1"/>
          <w:kern w:val="0"/>
          <w:sz w:val="24"/>
          <w14:textFill>
            <w14:solidFill>
              <w14:schemeClr w14:val="tx1"/>
            </w14:solidFill>
          </w14:textFill>
        </w:rPr>
        <w:t>Vosman, B., D. Visser, J. R. van der Voort, M. J. M. Smulders, and F.van Eeuwijk, 2004, The establishment of ‘essential derivation’ among rose varieties, using AFLP, Theor. Appl. Genet, 109, 1718—1725.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01E055-5E3F-4902-B65D-9870FC001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27F5D47-44EA-4A62-B9A0-A58E5181DAFC}"/>
  </w:font>
  <w:font w:name="楷体">
    <w:panose1 w:val="02010609060101010101"/>
    <w:charset w:val="86"/>
    <w:family w:val="modern"/>
    <w:pitch w:val="default"/>
    <w:sig w:usb0="800002BF" w:usb1="38CF7CFA" w:usb2="00000016" w:usb3="00000000" w:csb0="00040001" w:csb1="00000000"/>
    <w:embedRegular r:id="rId3" w:fontKey="{C479B62F-F4FD-45D1-AA41-5A85227FFF6C}"/>
  </w:font>
  <w:font w:name="Cambria Math">
    <w:panose1 w:val="02040503050406030204"/>
    <w:charset w:val="00"/>
    <w:family w:val="roman"/>
    <w:pitch w:val="default"/>
    <w:sig w:usb0="E00006FF" w:usb1="420024FF" w:usb2="02000000" w:usb3="00000000" w:csb0="2000019F" w:csb1="00000000"/>
    <w:embedRegular r:id="rId4" w:fontKey="{DDDD5112-4FEF-49AF-A579-FC826F06FCC4}"/>
  </w:font>
  <w:font w:name="微软雅黑">
    <w:panose1 w:val="020B0503020204020204"/>
    <w:charset w:val="86"/>
    <w:family w:val="swiss"/>
    <w:pitch w:val="default"/>
    <w:sig w:usb0="80000287" w:usb1="2ACF3C50" w:usb2="00000016" w:usb3="00000000" w:csb0="0004001F" w:csb1="00000000"/>
    <w:embedRegular r:id="rId5" w:fontKey="{924AAFE6-06CD-4E4B-84EB-E2363A5082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603517"/>
    </w:sdtPr>
    <w:sdtContent>
      <w:p w14:paraId="226E6370">
        <w:pPr>
          <w:pStyle w:val="7"/>
          <w:jc w:val="center"/>
        </w:pPr>
        <w:r>
          <w:fldChar w:fldCharType="begin"/>
        </w:r>
        <w:r>
          <w:instrText xml:space="preserve">PAGE   \* MERGEFORMAT</w:instrText>
        </w:r>
        <w:r>
          <w:fldChar w:fldCharType="separate"/>
        </w:r>
        <w:r>
          <w:rPr>
            <w:lang w:val="zh-CN"/>
          </w:rPr>
          <w:t>5</w:t>
        </w:r>
        <w:r>
          <w:fldChar w:fldCharType="end"/>
        </w:r>
      </w:p>
    </w:sdtContent>
  </w:sdt>
  <w:p w14:paraId="48A7082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62CFE"/>
    <w:multiLevelType w:val="singleLevel"/>
    <w:tmpl w:val="FA962CFE"/>
    <w:lvl w:ilvl="0" w:tentative="0">
      <w:start w:val="4"/>
      <w:numFmt w:val="chineseCounting"/>
      <w:suff w:val="nothing"/>
      <w:lvlText w:val="%1、"/>
      <w:lvlJc w:val="left"/>
      <w:rPr>
        <w:rFonts w:hint="eastAsia"/>
      </w:rPr>
    </w:lvl>
  </w:abstractNum>
  <w:abstractNum w:abstractNumId="1">
    <w:nsid w:val="0871588C"/>
    <w:multiLevelType w:val="singleLevel"/>
    <w:tmpl w:val="0871588C"/>
    <w:lvl w:ilvl="0" w:tentative="0">
      <w:start w:val="2"/>
      <w:numFmt w:val="chineseCounting"/>
      <w:suff w:val="nothing"/>
      <w:lvlText w:val="（%1）"/>
      <w:lvlJc w:val="left"/>
      <w:rPr>
        <w:rFonts w:hint="eastAsia"/>
      </w:rPr>
    </w:lvl>
  </w:abstractNum>
  <w:abstractNum w:abstractNumId="2">
    <w:nsid w:val="3792157F"/>
    <w:multiLevelType w:val="multilevel"/>
    <w:tmpl w:val="3792157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WY1MDcwMjZiZTNmYjQzMTk3Yjk3NzQyMzk4NGMifQ=="/>
  </w:docVars>
  <w:rsids>
    <w:rsidRoot w:val="000C53E4"/>
    <w:rsid w:val="000017E0"/>
    <w:rsid w:val="00002335"/>
    <w:rsid w:val="00004A03"/>
    <w:rsid w:val="00004B82"/>
    <w:rsid w:val="00007C6E"/>
    <w:rsid w:val="00010EF9"/>
    <w:rsid w:val="00012316"/>
    <w:rsid w:val="00013EE0"/>
    <w:rsid w:val="00016930"/>
    <w:rsid w:val="00016BD6"/>
    <w:rsid w:val="000204A9"/>
    <w:rsid w:val="00021E30"/>
    <w:rsid w:val="0003149A"/>
    <w:rsid w:val="00033218"/>
    <w:rsid w:val="000363F2"/>
    <w:rsid w:val="00036EAF"/>
    <w:rsid w:val="00037160"/>
    <w:rsid w:val="00040E5B"/>
    <w:rsid w:val="00041D07"/>
    <w:rsid w:val="00043271"/>
    <w:rsid w:val="0004781C"/>
    <w:rsid w:val="00056CA8"/>
    <w:rsid w:val="00057357"/>
    <w:rsid w:val="0005784E"/>
    <w:rsid w:val="00065430"/>
    <w:rsid w:val="000663F1"/>
    <w:rsid w:val="00070CB5"/>
    <w:rsid w:val="000727C7"/>
    <w:rsid w:val="00075689"/>
    <w:rsid w:val="00076007"/>
    <w:rsid w:val="0007714D"/>
    <w:rsid w:val="0008019A"/>
    <w:rsid w:val="000804B4"/>
    <w:rsid w:val="00082E27"/>
    <w:rsid w:val="00090530"/>
    <w:rsid w:val="0009080B"/>
    <w:rsid w:val="00091165"/>
    <w:rsid w:val="00094592"/>
    <w:rsid w:val="000967A6"/>
    <w:rsid w:val="000A0742"/>
    <w:rsid w:val="000A48B1"/>
    <w:rsid w:val="000A503B"/>
    <w:rsid w:val="000B0180"/>
    <w:rsid w:val="000B202C"/>
    <w:rsid w:val="000B38B4"/>
    <w:rsid w:val="000C1706"/>
    <w:rsid w:val="000C53E4"/>
    <w:rsid w:val="000C6DBA"/>
    <w:rsid w:val="000C7A17"/>
    <w:rsid w:val="000D1BE8"/>
    <w:rsid w:val="000D718F"/>
    <w:rsid w:val="000D7E6B"/>
    <w:rsid w:val="000E1212"/>
    <w:rsid w:val="000E3E0E"/>
    <w:rsid w:val="000E4479"/>
    <w:rsid w:val="000E526B"/>
    <w:rsid w:val="000E5D90"/>
    <w:rsid w:val="000F1013"/>
    <w:rsid w:val="000F1981"/>
    <w:rsid w:val="000F1EFB"/>
    <w:rsid w:val="000F3061"/>
    <w:rsid w:val="000F31A9"/>
    <w:rsid w:val="00105A9B"/>
    <w:rsid w:val="001063D8"/>
    <w:rsid w:val="00112227"/>
    <w:rsid w:val="00125602"/>
    <w:rsid w:val="00126D70"/>
    <w:rsid w:val="00130D0A"/>
    <w:rsid w:val="00131BB5"/>
    <w:rsid w:val="00134B54"/>
    <w:rsid w:val="00136239"/>
    <w:rsid w:val="00137036"/>
    <w:rsid w:val="001406DB"/>
    <w:rsid w:val="00141F77"/>
    <w:rsid w:val="00142000"/>
    <w:rsid w:val="001420AA"/>
    <w:rsid w:val="00143023"/>
    <w:rsid w:val="00144E79"/>
    <w:rsid w:val="0015191F"/>
    <w:rsid w:val="00151B72"/>
    <w:rsid w:val="0015778F"/>
    <w:rsid w:val="001615D7"/>
    <w:rsid w:val="0016225F"/>
    <w:rsid w:val="00162436"/>
    <w:rsid w:val="00162A37"/>
    <w:rsid w:val="001650EA"/>
    <w:rsid w:val="001672AD"/>
    <w:rsid w:val="00175280"/>
    <w:rsid w:val="00175290"/>
    <w:rsid w:val="00175BFD"/>
    <w:rsid w:val="00175C20"/>
    <w:rsid w:val="00181665"/>
    <w:rsid w:val="00182D62"/>
    <w:rsid w:val="001870F2"/>
    <w:rsid w:val="00187A34"/>
    <w:rsid w:val="00191025"/>
    <w:rsid w:val="001921F0"/>
    <w:rsid w:val="001928C8"/>
    <w:rsid w:val="001928EE"/>
    <w:rsid w:val="00193172"/>
    <w:rsid w:val="00195E45"/>
    <w:rsid w:val="001A19D4"/>
    <w:rsid w:val="001A1C8A"/>
    <w:rsid w:val="001A21D3"/>
    <w:rsid w:val="001A2F38"/>
    <w:rsid w:val="001A3822"/>
    <w:rsid w:val="001B563C"/>
    <w:rsid w:val="001B6F7C"/>
    <w:rsid w:val="001B7295"/>
    <w:rsid w:val="001B7322"/>
    <w:rsid w:val="001C286B"/>
    <w:rsid w:val="001C3758"/>
    <w:rsid w:val="001C49F7"/>
    <w:rsid w:val="001C5EE1"/>
    <w:rsid w:val="001D0218"/>
    <w:rsid w:val="001D3D3A"/>
    <w:rsid w:val="001D4E48"/>
    <w:rsid w:val="001D69CD"/>
    <w:rsid w:val="001D7EAC"/>
    <w:rsid w:val="001E0355"/>
    <w:rsid w:val="001E18A3"/>
    <w:rsid w:val="001E1B26"/>
    <w:rsid w:val="001E2810"/>
    <w:rsid w:val="001E33E4"/>
    <w:rsid w:val="001E73E2"/>
    <w:rsid w:val="001F1F03"/>
    <w:rsid w:val="001F3C88"/>
    <w:rsid w:val="001F742D"/>
    <w:rsid w:val="0020137E"/>
    <w:rsid w:val="00203F7D"/>
    <w:rsid w:val="00204866"/>
    <w:rsid w:val="002114D8"/>
    <w:rsid w:val="00213AB2"/>
    <w:rsid w:val="00217AF1"/>
    <w:rsid w:val="00217C06"/>
    <w:rsid w:val="00230FEC"/>
    <w:rsid w:val="00232EB8"/>
    <w:rsid w:val="00234265"/>
    <w:rsid w:val="00235B93"/>
    <w:rsid w:val="002404ED"/>
    <w:rsid w:val="00241F64"/>
    <w:rsid w:val="00242937"/>
    <w:rsid w:val="0024352D"/>
    <w:rsid w:val="00243ECC"/>
    <w:rsid w:val="002451D6"/>
    <w:rsid w:val="00246F2D"/>
    <w:rsid w:val="0024785E"/>
    <w:rsid w:val="00250693"/>
    <w:rsid w:val="00251A02"/>
    <w:rsid w:val="002527AE"/>
    <w:rsid w:val="002579A9"/>
    <w:rsid w:val="002635FA"/>
    <w:rsid w:val="00265073"/>
    <w:rsid w:val="002650DE"/>
    <w:rsid w:val="002664FB"/>
    <w:rsid w:val="002719C9"/>
    <w:rsid w:val="0028141E"/>
    <w:rsid w:val="00284056"/>
    <w:rsid w:val="00287FD6"/>
    <w:rsid w:val="00290372"/>
    <w:rsid w:val="002936FA"/>
    <w:rsid w:val="00294986"/>
    <w:rsid w:val="00295431"/>
    <w:rsid w:val="00296043"/>
    <w:rsid w:val="002A050F"/>
    <w:rsid w:val="002A4222"/>
    <w:rsid w:val="002A4974"/>
    <w:rsid w:val="002A5696"/>
    <w:rsid w:val="002A715A"/>
    <w:rsid w:val="002B054F"/>
    <w:rsid w:val="002B4263"/>
    <w:rsid w:val="002B5F8F"/>
    <w:rsid w:val="002B691F"/>
    <w:rsid w:val="002C2587"/>
    <w:rsid w:val="002C4044"/>
    <w:rsid w:val="002C7C8A"/>
    <w:rsid w:val="002D534F"/>
    <w:rsid w:val="002D7740"/>
    <w:rsid w:val="002E1139"/>
    <w:rsid w:val="002E1A3F"/>
    <w:rsid w:val="002E29DD"/>
    <w:rsid w:val="002E515A"/>
    <w:rsid w:val="002E5589"/>
    <w:rsid w:val="002F53A1"/>
    <w:rsid w:val="002F5E28"/>
    <w:rsid w:val="002F5F7A"/>
    <w:rsid w:val="002F64CA"/>
    <w:rsid w:val="002F661E"/>
    <w:rsid w:val="0030185C"/>
    <w:rsid w:val="00301BB2"/>
    <w:rsid w:val="003069FB"/>
    <w:rsid w:val="003076F7"/>
    <w:rsid w:val="00310FA6"/>
    <w:rsid w:val="0031532B"/>
    <w:rsid w:val="003156C8"/>
    <w:rsid w:val="00316417"/>
    <w:rsid w:val="00316982"/>
    <w:rsid w:val="003172F0"/>
    <w:rsid w:val="0031760B"/>
    <w:rsid w:val="0032090A"/>
    <w:rsid w:val="0032100B"/>
    <w:rsid w:val="003210A5"/>
    <w:rsid w:val="00322C86"/>
    <w:rsid w:val="003231B7"/>
    <w:rsid w:val="003307DE"/>
    <w:rsid w:val="00335EDB"/>
    <w:rsid w:val="00336CFD"/>
    <w:rsid w:val="00336DE0"/>
    <w:rsid w:val="00340121"/>
    <w:rsid w:val="0035099E"/>
    <w:rsid w:val="00350F66"/>
    <w:rsid w:val="0035242B"/>
    <w:rsid w:val="00355C50"/>
    <w:rsid w:val="00361B26"/>
    <w:rsid w:val="00364AD0"/>
    <w:rsid w:val="00371931"/>
    <w:rsid w:val="00372658"/>
    <w:rsid w:val="00373687"/>
    <w:rsid w:val="00374174"/>
    <w:rsid w:val="003766FE"/>
    <w:rsid w:val="003776EE"/>
    <w:rsid w:val="00385B7A"/>
    <w:rsid w:val="00390A96"/>
    <w:rsid w:val="00393453"/>
    <w:rsid w:val="0039420A"/>
    <w:rsid w:val="003A0EF0"/>
    <w:rsid w:val="003A3558"/>
    <w:rsid w:val="003A4B5F"/>
    <w:rsid w:val="003A60A2"/>
    <w:rsid w:val="003B4089"/>
    <w:rsid w:val="003B7934"/>
    <w:rsid w:val="003B7E87"/>
    <w:rsid w:val="003C5328"/>
    <w:rsid w:val="003D2F88"/>
    <w:rsid w:val="003D532A"/>
    <w:rsid w:val="003D6DCE"/>
    <w:rsid w:val="003E05E3"/>
    <w:rsid w:val="003E4DFC"/>
    <w:rsid w:val="003E6D4E"/>
    <w:rsid w:val="003F116A"/>
    <w:rsid w:val="003F28D6"/>
    <w:rsid w:val="003F2FDD"/>
    <w:rsid w:val="00402071"/>
    <w:rsid w:val="00405928"/>
    <w:rsid w:val="004067CA"/>
    <w:rsid w:val="00411D07"/>
    <w:rsid w:val="004123CE"/>
    <w:rsid w:val="00417B1A"/>
    <w:rsid w:val="00417C2E"/>
    <w:rsid w:val="00420807"/>
    <w:rsid w:val="0042105A"/>
    <w:rsid w:val="00422EC9"/>
    <w:rsid w:val="00422F76"/>
    <w:rsid w:val="00430406"/>
    <w:rsid w:val="00433B2F"/>
    <w:rsid w:val="00441D27"/>
    <w:rsid w:val="004451B8"/>
    <w:rsid w:val="00445C10"/>
    <w:rsid w:val="00447DC8"/>
    <w:rsid w:val="004539C0"/>
    <w:rsid w:val="0045687C"/>
    <w:rsid w:val="00457CCE"/>
    <w:rsid w:val="00460598"/>
    <w:rsid w:val="00461EA4"/>
    <w:rsid w:val="00464919"/>
    <w:rsid w:val="00470C28"/>
    <w:rsid w:val="0047322B"/>
    <w:rsid w:val="004772BB"/>
    <w:rsid w:val="004848ED"/>
    <w:rsid w:val="00490EED"/>
    <w:rsid w:val="00491130"/>
    <w:rsid w:val="004926FA"/>
    <w:rsid w:val="004A0F64"/>
    <w:rsid w:val="004A14A8"/>
    <w:rsid w:val="004A5D31"/>
    <w:rsid w:val="004A7244"/>
    <w:rsid w:val="004B11A7"/>
    <w:rsid w:val="004B192A"/>
    <w:rsid w:val="004B296B"/>
    <w:rsid w:val="004B43D2"/>
    <w:rsid w:val="004C014E"/>
    <w:rsid w:val="004C2EA7"/>
    <w:rsid w:val="004C492B"/>
    <w:rsid w:val="004C5C4F"/>
    <w:rsid w:val="004D0AC1"/>
    <w:rsid w:val="004D5249"/>
    <w:rsid w:val="004D553B"/>
    <w:rsid w:val="004E45D5"/>
    <w:rsid w:val="004E4A24"/>
    <w:rsid w:val="004E7580"/>
    <w:rsid w:val="004E7B45"/>
    <w:rsid w:val="004F11CC"/>
    <w:rsid w:val="004F144C"/>
    <w:rsid w:val="004F4A6C"/>
    <w:rsid w:val="00500091"/>
    <w:rsid w:val="00502707"/>
    <w:rsid w:val="005040B4"/>
    <w:rsid w:val="00510E27"/>
    <w:rsid w:val="0051367D"/>
    <w:rsid w:val="00521820"/>
    <w:rsid w:val="00522728"/>
    <w:rsid w:val="0052499A"/>
    <w:rsid w:val="00524DA7"/>
    <w:rsid w:val="00527ED7"/>
    <w:rsid w:val="00530913"/>
    <w:rsid w:val="005326F1"/>
    <w:rsid w:val="00537EC3"/>
    <w:rsid w:val="005415A9"/>
    <w:rsid w:val="0054479F"/>
    <w:rsid w:val="005503F3"/>
    <w:rsid w:val="00551891"/>
    <w:rsid w:val="00553D68"/>
    <w:rsid w:val="00565175"/>
    <w:rsid w:val="005714DD"/>
    <w:rsid w:val="00572C2F"/>
    <w:rsid w:val="005731D3"/>
    <w:rsid w:val="00573747"/>
    <w:rsid w:val="00580C13"/>
    <w:rsid w:val="005819E9"/>
    <w:rsid w:val="0058271D"/>
    <w:rsid w:val="00582ABC"/>
    <w:rsid w:val="00590F17"/>
    <w:rsid w:val="00592499"/>
    <w:rsid w:val="005940B2"/>
    <w:rsid w:val="005A35D1"/>
    <w:rsid w:val="005A5A4B"/>
    <w:rsid w:val="005B0C7F"/>
    <w:rsid w:val="005B15AD"/>
    <w:rsid w:val="005B30BD"/>
    <w:rsid w:val="005B369D"/>
    <w:rsid w:val="005B6981"/>
    <w:rsid w:val="005B774F"/>
    <w:rsid w:val="005C1BFC"/>
    <w:rsid w:val="005C2BB7"/>
    <w:rsid w:val="005D0290"/>
    <w:rsid w:val="005D56F2"/>
    <w:rsid w:val="005D7812"/>
    <w:rsid w:val="005D7B2D"/>
    <w:rsid w:val="005E0B66"/>
    <w:rsid w:val="005E13F4"/>
    <w:rsid w:val="005E2146"/>
    <w:rsid w:val="005E46A8"/>
    <w:rsid w:val="005E69D0"/>
    <w:rsid w:val="005F190F"/>
    <w:rsid w:val="005F5158"/>
    <w:rsid w:val="005F6904"/>
    <w:rsid w:val="005F6E76"/>
    <w:rsid w:val="006063A2"/>
    <w:rsid w:val="0061097D"/>
    <w:rsid w:val="00611719"/>
    <w:rsid w:val="00615880"/>
    <w:rsid w:val="00617C91"/>
    <w:rsid w:val="0063059F"/>
    <w:rsid w:val="00631D5E"/>
    <w:rsid w:val="00633EC0"/>
    <w:rsid w:val="006360B5"/>
    <w:rsid w:val="00641192"/>
    <w:rsid w:val="00641EE5"/>
    <w:rsid w:val="00650ED8"/>
    <w:rsid w:val="00654BA0"/>
    <w:rsid w:val="00654E96"/>
    <w:rsid w:val="006565B1"/>
    <w:rsid w:val="0066357B"/>
    <w:rsid w:val="006645D7"/>
    <w:rsid w:val="0067462C"/>
    <w:rsid w:val="00677A71"/>
    <w:rsid w:val="00680D5C"/>
    <w:rsid w:val="006818D4"/>
    <w:rsid w:val="00684A66"/>
    <w:rsid w:val="00686CB8"/>
    <w:rsid w:val="00690D60"/>
    <w:rsid w:val="006927E1"/>
    <w:rsid w:val="00693D7B"/>
    <w:rsid w:val="00694D0E"/>
    <w:rsid w:val="0069601E"/>
    <w:rsid w:val="00696F15"/>
    <w:rsid w:val="006A1580"/>
    <w:rsid w:val="006A1785"/>
    <w:rsid w:val="006A29C7"/>
    <w:rsid w:val="006A2D83"/>
    <w:rsid w:val="006A6AD6"/>
    <w:rsid w:val="006B52F0"/>
    <w:rsid w:val="006B5ACC"/>
    <w:rsid w:val="006B7E68"/>
    <w:rsid w:val="006C08DC"/>
    <w:rsid w:val="006C3F0D"/>
    <w:rsid w:val="006C468B"/>
    <w:rsid w:val="006C62A1"/>
    <w:rsid w:val="006D0022"/>
    <w:rsid w:val="006D23C3"/>
    <w:rsid w:val="006D2D27"/>
    <w:rsid w:val="006D6A68"/>
    <w:rsid w:val="006E0A72"/>
    <w:rsid w:val="006E59F1"/>
    <w:rsid w:val="006F1B23"/>
    <w:rsid w:val="006F2922"/>
    <w:rsid w:val="006F5D2E"/>
    <w:rsid w:val="006F7085"/>
    <w:rsid w:val="00702A9F"/>
    <w:rsid w:val="007030C4"/>
    <w:rsid w:val="0070454F"/>
    <w:rsid w:val="00704C9E"/>
    <w:rsid w:val="00705077"/>
    <w:rsid w:val="007068D7"/>
    <w:rsid w:val="00707DF1"/>
    <w:rsid w:val="007118AB"/>
    <w:rsid w:val="00712F78"/>
    <w:rsid w:val="0071372F"/>
    <w:rsid w:val="00717445"/>
    <w:rsid w:val="00720069"/>
    <w:rsid w:val="00721F9A"/>
    <w:rsid w:val="0072499C"/>
    <w:rsid w:val="007326C3"/>
    <w:rsid w:val="007337A1"/>
    <w:rsid w:val="00734A89"/>
    <w:rsid w:val="00737485"/>
    <w:rsid w:val="0074134E"/>
    <w:rsid w:val="0074160F"/>
    <w:rsid w:val="007451DB"/>
    <w:rsid w:val="00747A66"/>
    <w:rsid w:val="00751237"/>
    <w:rsid w:val="0075166D"/>
    <w:rsid w:val="0075494C"/>
    <w:rsid w:val="00754FB4"/>
    <w:rsid w:val="0075658D"/>
    <w:rsid w:val="007566F7"/>
    <w:rsid w:val="00760545"/>
    <w:rsid w:val="00761832"/>
    <w:rsid w:val="007638B7"/>
    <w:rsid w:val="00766F95"/>
    <w:rsid w:val="007672D9"/>
    <w:rsid w:val="0077163D"/>
    <w:rsid w:val="007746EB"/>
    <w:rsid w:val="00775388"/>
    <w:rsid w:val="007775B1"/>
    <w:rsid w:val="00777D95"/>
    <w:rsid w:val="007828FC"/>
    <w:rsid w:val="0078417B"/>
    <w:rsid w:val="007842EA"/>
    <w:rsid w:val="00784745"/>
    <w:rsid w:val="00785FAE"/>
    <w:rsid w:val="00787C81"/>
    <w:rsid w:val="007918C9"/>
    <w:rsid w:val="00796386"/>
    <w:rsid w:val="007A2132"/>
    <w:rsid w:val="007A5714"/>
    <w:rsid w:val="007A616F"/>
    <w:rsid w:val="007B1FA6"/>
    <w:rsid w:val="007B286A"/>
    <w:rsid w:val="007B33C6"/>
    <w:rsid w:val="007B4D1F"/>
    <w:rsid w:val="007B5B09"/>
    <w:rsid w:val="007C5E19"/>
    <w:rsid w:val="007C7BAC"/>
    <w:rsid w:val="007D1767"/>
    <w:rsid w:val="007D2952"/>
    <w:rsid w:val="007D296F"/>
    <w:rsid w:val="007D406C"/>
    <w:rsid w:val="007D5919"/>
    <w:rsid w:val="007D61FB"/>
    <w:rsid w:val="007D7120"/>
    <w:rsid w:val="007D7A97"/>
    <w:rsid w:val="007E05F2"/>
    <w:rsid w:val="007E1CD7"/>
    <w:rsid w:val="007E379E"/>
    <w:rsid w:val="007E3CA8"/>
    <w:rsid w:val="007E4365"/>
    <w:rsid w:val="007E5BC4"/>
    <w:rsid w:val="007E5C94"/>
    <w:rsid w:val="007E5E30"/>
    <w:rsid w:val="007E7692"/>
    <w:rsid w:val="007F1384"/>
    <w:rsid w:val="007F384C"/>
    <w:rsid w:val="007F3E97"/>
    <w:rsid w:val="007F4711"/>
    <w:rsid w:val="007F49A3"/>
    <w:rsid w:val="00801862"/>
    <w:rsid w:val="0080189A"/>
    <w:rsid w:val="00805303"/>
    <w:rsid w:val="00806596"/>
    <w:rsid w:val="00807546"/>
    <w:rsid w:val="00813265"/>
    <w:rsid w:val="008202F1"/>
    <w:rsid w:val="00820A91"/>
    <w:rsid w:val="00824FE3"/>
    <w:rsid w:val="0083026C"/>
    <w:rsid w:val="008346FF"/>
    <w:rsid w:val="00834DFA"/>
    <w:rsid w:val="0083682A"/>
    <w:rsid w:val="00841EBD"/>
    <w:rsid w:val="00844B66"/>
    <w:rsid w:val="008453A8"/>
    <w:rsid w:val="00845AAC"/>
    <w:rsid w:val="00845C44"/>
    <w:rsid w:val="00847302"/>
    <w:rsid w:val="00847583"/>
    <w:rsid w:val="00851457"/>
    <w:rsid w:val="008520A4"/>
    <w:rsid w:val="00852469"/>
    <w:rsid w:val="008528C5"/>
    <w:rsid w:val="00860325"/>
    <w:rsid w:val="00866E7D"/>
    <w:rsid w:val="00867D53"/>
    <w:rsid w:val="008706A7"/>
    <w:rsid w:val="008756EA"/>
    <w:rsid w:val="008806F9"/>
    <w:rsid w:val="008817A3"/>
    <w:rsid w:val="008848F8"/>
    <w:rsid w:val="00890F75"/>
    <w:rsid w:val="008920D7"/>
    <w:rsid w:val="0089234B"/>
    <w:rsid w:val="008A417F"/>
    <w:rsid w:val="008A4D5C"/>
    <w:rsid w:val="008A7CF3"/>
    <w:rsid w:val="008B2357"/>
    <w:rsid w:val="008B3C43"/>
    <w:rsid w:val="008B4B9F"/>
    <w:rsid w:val="008B655F"/>
    <w:rsid w:val="008B7385"/>
    <w:rsid w:val="008C061D"/>
    <w:rsid w:val="008C2901"/>
    <w:rsid w:val="008D1909"/>
    <w:rsid w:val="008D3CA7"/>
    <w:rsid w:val="008D749B"/>
    <w:rsid w:val="008E3405"/>
    <w:rsid w:val="008E5BC6"/>
    <w:rsid w:val="008F4857"/>
    <w:rsid w:val="008F52AD"/>
    <w:rsid w:val="00900880"/>
    <w:rsid w:val="00900AE7"/>
    <w:rsid w:val="00901C56"/>
    <w:rsid w:val="00902963"/>
    <w:rsid w:val="00903045"/>
    <w:rsid w:val="00904125"/>
    <w:rsid w:val="00904764"/>
    <w:rsid w:val="00906951"/>
    <w:rsid w:val="00906C3A"/>
    <w:rsid w:val="00907549"/>
    <w:rsid w:val="00907807"/>
    <w:rsid w:val="00911E11"/>
    <w:rsid w:val="00915122"/>
    <w:rsid w:val="00916EA7"/>
    <w:rsid w:val="0092438D"/>
    <w:rsid w:val="0092624D"/>
    <w:rsid w:val="0092689E"/>
    <w:rsid w:val="00933363"/>
    <w:rsid w:val="009347F2"/>
    <w:rsid w:val="00936718"/>
    <w:rsid w:val="009419D8"/>
    <w:rsid w:val="00952DED"/>
    <w:rsid w:val="00952F2B"/>
    <w:rsid w:val="00953D65"/>
    <w:rsid w:val="00954C89"/>
    <w:rsid w:val="00960FA7"/>
    <w:rsid w:val="0096117C"/>
    <w:rsid w:val="009614E9"/>
    <w:rsid w:val="0096177F"/>
    <w:rsid w:val="00962F3E"/>
    <w:rsid w:val="00963097"/>
    <w:rsid w:val="009632D5"/>
    <w:rsid w:val="00964D6B"/>
    <w:rsid w:val="00965807"/>
    <w:rsid w:val="009668B1"/>
    <w:rsid w:val="009731B9"/>
    <w:rsid w:val="00975185"/>
    <w:rsid w:val="00975347"/>
    <w:rsid w:val="0097657A"/>
    <w:rsid w:val="0098331A"/>
    <w:rsid w:val="00985CF3"/>
    <w:rsid w:val="0099270A"/>
    <w:rsid w:val="00993F7E"/>
    <w:rsid w:val="009967CB"/>
    <w:rsid w:val="009A260C"/>
    <w:rsid w:val="009A490A"/>
    <w:rsid w:val="009B4E41"/>
    <w:rsid w:val="009B594B"/>
    <w:rsid w:val="009B7DA5"/>
    <w:rsid w:val="009C332A"/>
    <w:rsid w:val="009C4DE5"/>
    <w:rsid w:val="009C5EDC"/>
    <w:rsid w:val="009D087C"/>
    <w:rsid w:val="009D0F9A"/>
    <w:rsid w:val="009D6D6A"/>
    <w:rsid w:val="009D6F56"/>
    <w:rsid w:val="009E2DAD"/>
    <w:rsid w:val="009E2E64"/>
    <w:rsid w:val="009F25D6"/>
    <w:rsid w:val="009F5D31"/>
    <w:rsid w:val="009F65D4"/>
    <w:rsid w:val="009F7E3D"/>
    <w:rsid w:val="00A11F65"/>
    <w:rsid w:val="00A13082"/>
    <w:rsid w:val="00A1635A"/>
    <w:rsid w:val="00A1678F"/>
    <w:rsid w:val="00A17291"/>
    <w:rsid w:val="00A17AEA"/>
    <w:rsid w:val="00A17FCA"/>
    <w:rsid w:val="00A200A6"/>
    <w:rsid w:val="00A2065D"/>
    <w:rsid w:val="00A33029"/>
    <w:rsid w:val="00A33751"/>
    <w:rsid w:val="00A348E4"/>
    <w:rsid w:val="00A45073"/>
    <w:rsid w:val="00A462B1"/>
    <w:rsid w:val="00A4641D"/>
    <w:rsid w:val="00A554A3"/>
    <w:rsid w:val="00A600F2"/>
    <w:rsid w:val="00A6359B"/>
    <w:rsid w:val="00A66155"/>
    <w:rsid w:val="00A70934"/>
    <w:rsid w:val="00A718FD"/>
    <w:rsid w:val="00A71AF9"/>
    <w:rsid w:val="00A73D36"/>
    <w:rsid w:val="00A758DA"/>
    <w:rsid w:val="00A7721E"/>
    <w:rsid w:val="00A801A0"/>
    <w:rsid w:val="00A82B7E"/>
    <w:rsid w:val="00A839B7"/>
    <w:rsid w:val="00A83CBA"/>
    <w:rsid w:val="00A87445"/>
    <w:rsid w:val="00A90190"/>
    <w:rsid w:val="00A90269"/>
    <w:rsid w:val="00AA230D"/>
    <w:rsid w:val="00AA3873"/>
    <w:rsid w:val="00AA61D0"/>
    <w:rsid w:val="00AA626E"/>
    <w:rsid w:val="00AA7270"/>
    <w:rsid w:val="00AB3351"/>
    <w:rsid w:val="00AB6BF7"/>
    <w:rsid w:val="00AB6F0F"/>
    <w:rsid w:val="00AC0582"/>
    <w:rsid w:val="00AC1234"/>
    <w:rsid w:val="00AC3D27"/>
    <w:rsid w:val="00AC4DF8"/>
    <w:rsid w:val="00AC500A"/>
    <w:rsid w:val="00AC757F"/>
    <w:rsid w:val="00AD5EA9"/>
    <w:rsid w:val="00AD75C7"/>
    <w:rsid w:val="00AE027E"/>
    <w:rsid w:val="00AF0FD9"/>
    <w:rsid w:val="00AF1415"/>
    <w:rsid w:val="00AF550D"/>
    <w:rsid w:val="00B05110"/>
    <w:rsid w:val="00B0608E"/>
    <w:rsid w:val="00B06BDD"/>
    <w:rsid w:val="00B17473"/>
    <w:rsid w:val="00B210CA"/>
    <w:rsid w:val="00B26D2B"/>
    <w:rsid w:val="00B3017A"/>
    <w:rsid w:val="00B304E7"/>
    <w:rsid w:val="00B3123A"/>
    <w:rsid w:val="00B32DB8"/>
    <w:rsid w:val="00B3552A"/>
    <w:rsid w:val="00B356C1"/>
    <w:rsid w:val="00B41615"/>
    <w:rsid w:val="00B42CD3"/>
    <w:rsid w:val="00B4614F"/>
    <w:rsid w:val="00B463BF"/>
    <w:rsid w:val="00B508FD"/>
    <w:rsid w:val="00B512CE"/>
    <w:rsid w:val="00B51B82"/>
    <w:rsid w:val="00B523A2"/>
    <w:rsid w:val="00B53212"/>
    <w:rsid w:val="00B538CB"/>
    <w:rsid w:val="00B55CE3"/>
    <w:rsid w:val="00B55E9B"/>
    <w:rsid w:val="00B57BC1"/>
    <w:rsid w:val="00B6067F"/>
    <w:rsid w:val="00B613D9"/>
    <w:rsid w:val="00B70C48"/>
    <w:rsid w:val="00B82D6C"/>
    <w:rsid w:val="00B92A16"/>
    <w:rsid w:val="00B93C00"/>
    <w:rsid w:val="00B9407E"/>
    <w:rsid w:val="00B946FA"/>
    <w:rsid w:val="00B96F71"/>
    <w:rsid w:val="00B97892"/>
    <w:rsid w:val="00BA0B87"/>
    <w:rsid w:val="00BA3DC8"/>
    <w:rsid w:val="00BA43FB"/>
    <w:rsid w:val="00BB7BC0"/>
    <w:rsid w:val="00BC19AC"/>
    <w:rsid w:val="00BC287D"/>
    <w:rsid w:val="00BC3E74"/>
    <w:rsid w:val="00BC3E78"/>
    <w:rsid w:val="00BC416B"/>
    <w:rsid w:val="00BC529E"/>
    <w:rsid w:val="00BC5D6F"/>
    <w:rsid w:val="00BC7EDB"/>
    <w:rsid w:val="00BD0EAC"/>
    <w:rsid w:val="00BD1268"/>
    <w:rsid w:val="00BD33DE"/>
    <w:rsid w:val="00BD3502"/>
    <w:rsid w:val="00BD7076"/>
    <w:rsid w:val="00BE5866"/>
    <w:rsid w:val="00BF0E33"/>
    <w:rsid w:val="00BF11B6"/>
    <w:rsid w:val="00BF177B"/>
    <w:rsid w:val="00BF242E"/>
    <w:rsid w:val="00BF5B45"/>
    <w:rsid w:val="00BF776D"/>
    <w:rsid w:val="00C00DBF"/>
    <w:rsid w:val="00C00E20"/>
    <w:rsid w:val="00C01974"/>
    <w:rsid w:val="00C04FD8"/>
    <w:rsid w:val="00C11D26"/>
    <w:rsid w:val="00C11ECD"/>
    <w:rsid w:val="00C13176"/>
    <w:rsid w:val="00C132B9"/>
    <w:rsid w:val="00C15A9B"/>
    <w:rsid w:val="00C25134"/>
    <w:rsid w:val="00C25534"/>
    <w:rsid w:val="00C33460"/>
    <w:rsid w:val="00C379E0"/>
    <w:rsid w:val="00C40943"/>
    <w:rsid w:val="00C40BDA"/>
    <w:rsid w:val="00C41294"/>
    <w:rsid w:val="00C41507"/>
    <w:rsid w:val="00C41723"/>
    <w:rsid w:val="00C475F7"/>
    <w:rsid w:val="00C55CAD"/>
    <w:rsid w:val="00C56B92"/>
    <w:rsid w:val="00C6391A"/>
    <w:rsid w:val="00C67243"/>
    <w:rsid w:val="00C67373"/>
    <w:rsid w:val="00C70D2E"/>
    <w:rsid w:val="00C75868"/>
    <w:rsid w:val="00C81884"/>
    <w:rsid w:val="00C82315"/>
    <w:rsid w:val="00C8391F"/>
    <w:rsid w:val="00C84AEB"/>
    <w:rsid w:val="00C876EE"/>
    <w:rsid w:val="00C878C5"/>
    <w:rsid w:val="00C92646"/>
    <w:rsid w:val="00C932E1"/>
    <w:rsid w:val="00C93428"/>
    <w:rsid w:val="00C95BBA"/>
    <w:rsid w:val="00C97202"/>
    <w:rsid w:val="00CA20DC"/>
    <w:rsid w:val="00CB0F69"/>
    <w:rsid w:val="00CC346A"/>
    <w:rsid w:val="00CC3A4D"/>
    <w:rsid w:val="00CC797C"/>
    <w:rsid w:val="00CD78BF"/>
    <w:rsid w:val="00CE11E9"/>
    <w:rsid w:val="00CE372D"/>
    <w:rsid w:val="00CE661F"/>
    <w:rsid w:val="00CE6830"/>
    <w:rsid w:val="00CF043D"/>
    <w:rsid w:val="00CF28AA"/>
    <w:rsid w:val="00CF743F"/>
    <w:rsid w:val="00CF7890"/>
    <w:rsid w:val="00CF7A0E"/>
    <w:rsid w:val="00D0001B"/>
    <w:rsid w:val="00D006C9"/>
    <w:rsid w:val="00D007D3"/>
    <w:rsid w:val="00D046F1"/>
    <w:rsid w:val="00D07A36"/>
    <w:rsid w:val="00D15B61"/>
    <w:rsid w:val="00D1753E"/>
    <w:rsid w:val="00D2211B"/>
    <w:rsid w:val="00D22DB7"/>
    <w:rsid w:val="00D25225"/>
    <w:rsid w:val="00D2545E"/>
    <w:rsid w:val="00D306F2"/>
    <w:rsid w:val="00D312BD"/>
    <w:rsid w:val="00D31A51"/>
    <w:rsid w:val="00D322B3"/>
    <w:rsid w:val="00D34E46"/>
    <w:rsid w:val="00D34FAF"/>
    <w:rsid w:val="00D3596A"/>
    <w:rsid w:val="00D3624B"/>
    <w:rsid w:val="00D368C0"/>
    <w:rsid w:val="00D42397"/>
    <w:rsid w:val="00D441F8"/>
    <w:rsid w:val="00D44AEE"/>
    <w:rsid w:val="00D44C90"/>
    <w:rsid w:val="00D45387"/>
    <w:rsid w:val="00D505CB"/>
    <w:rsid w:val="00D50E16"/>
    <w:rsid w:val="00D51460"/>
    <w:rsid w:val="00D5354F"/>
    <w:rsid w:val="00D5406B"/>
    <w:rsid w:val="00D540B3"/>
    <w:rsid w:val="00D57605"/>
    <w:rsid w:val="00D61654"/>
    <w:rsid w:val="00D63BCC"/>
    <w:rsid w:val="00D71DEA"/>
    <w:rsid w:val="00D87125"/>
    <w:rsid w:val="00D90282"/>
    <w:rsid w:val="00D90C1B"/>
    <w:rsid w:val="00D91F34"/>
    <w:rsid w:val="00D94F80"/>
    <w:rsid w:val="00D97C43"/>
    <w:rsid w:val="00DA0944"/>
    <w:rsid w:val="00DA358B"/>
    <w:rsid w:val="00DA4669"/>
    <w:rsid w:val="00DA6BC9"/>
    <w:rsid w:val="00DA774D"/>
    <w:rsid w:val="00DC0166"/>
    <w:rsid w:val="00DC0E2B"/>
    <w:rsid w:val="00DC4F20"/>
    <w:rsid w:val="00DC527D"/>
    <w:rsid w:val="00DC7006"/>
    <w:rsid w:val="00DD43A2"/>
    <w:rsid w:val="00DD617A"/>
    <w:rsid w:val="00DE001D"/>
    <w:rsid w:val="00DE158A"/>
    <w:rsid w:val="00DF4282"/>
    <w:rsid w:val="00E00885"/>
    <w:rsid w:val="00E03E3B"/>
    <w:rsid w:val="00E1011D"/>
    <w:rsid w:val="00E11412"/>
    <w:rsid w:val="00E130BF"/>
    <w:rsid w:val="00E13EE0"/>
    <w:rsid w:val="00E145BC"/>
    <w:rsid w:val="00E1470F"/>
    <w:rsid w:val="00E167D2"/>
    <w:rsid w:val="00E21B0F"/>
    <w:rsid w:val="00E2318F"/>
    <w:rsid w:val="00E23940"/>
    <w:rsid w:val="00E27D20"/>
    <w:rsid w:val="00E313E4"/>
    <w:rsid w:val="00E31A75"/>
    <w:rsid w:val="00E3592F"/>
    <w:rsid w:val="00E37D40"/>
    <w:rsid w:val="00E41234"/>
    <w:rsid w:val="00E46C4F"/>
    <w:rsid w:val="00E506A0"/>
    <w:rsid w:val="00E56A4F"/>
    <w:rsid w:val="00E62377"/>
    <w:rsid w:val="00E62D9E"/>
    <w:rsid w:val="00E63A10"/>
    <w:rsid w:val="00E64558"/>
    <w:rsid w:val="00E67651"/>
    <w:rsid w:val="00E72C04"/>
    <w:rsid w:val="00E7440C"/>
    <w:rsid w:val="00E75581"/>
    <w:rsid w:val="00E850CB"/>
    <w:rsid w:val="00E8586F"/>
    <w:rsid w:val="00E903E2"/>
    <w:rsid w:val="00E91345"/>
    <w:rsid w:val="00EA4AE4"/>
    <w:rsid w:val="00EB22AE"/>
    <w:rsid w:val="00EB3B24"/>
    <w:rsid w:val="00EB530D"/>
    <w:rsid w:val="00EC4B33"/>
    <w:rsid w:val="00EC6C28"/>
    <w:rsid w:val="00EC796E"/>
    <w:rsid w:val="00ED2022"/>
    <w:rsid w:val="00ED5407"/>
    <w:rsid w:val="00EE1A2D"/>
    <w:rsid w:val="00EE452E"/>
    <w:rsid w:val="00EE7189"/>
    <w:rsid w:val="00EE7E6B"/>
    <w:rsid w:val="00EF1678"/>
    <w:rsid w:val="00F057AE"/>
    <w:rsid w:val="00F05A03"/>
    <w:rsid w:val="00F06A4A"/>
    <w:rsid w:val="00F07BAF"/>
    <w:rsid w:val="00F1120F"/>
    <w:rsid w:val="00F37FEB"/>
    <w:rsid w:val="00F42950"/>
    <w:rsid w:val="00F4301F"/>
    <w:rsid w:val="00F443A5"/>
    <w:rsid w:val="00F446B2"/>
    <w:rsid w:val="00F45780"/>
    <w:rsid w:val="00F519BF"/>
    <w:rsid w:val="00F5291A"/>
    <w:rsid w:val="00F5419A"/>
    <w:rsid w:val="00F60DBF"/>
    <w:rsid w:val="00F618CB"/>
    <w:rsid w:val="00F624A2"/>
    <w:rsid w:val="00F62B39"/>
    <w:rsid w:val="00F63AD4"/>
    <w:rsid w:val="00F662D1"/>
    <w:rsid w:val="00F734BE"/>
    <w:rsid w:val="00F77321"/>
    <w:rsid w:val="00F7772A"/>
    <w:rsid w:val="00F82AC4"/>
    <w:rsid w:val="00F8338A"/>
    <w:rsid w:val="00F852A9"/>
    <w:rsid w:val="00F941B5"/>
    <w:rsid w:val="00F95D3A"/>
    <w:rsid w:val="00FA007A"/>
    <w:rsid w:val="00FA063C"/>
    <w:rsid w:val="00FA0769"/>
    <w:rsid w:val="00FA0B06"/>
    <w:rsid w:val="00FA0B6E"/>
    <w:rsid w:val="00FA1AB0"/>
    <w:rsid w:val="00FA7459"/>
    <w:rsid w:val="00FB57B2"/>
    <w:rsid w:val="00FB5999"/>
    <w:rsid w:val="00FC2A25"/>
    <w:rsid w:val="00FC2E79"/>
    <w:rsid w:val="00FD70F0"/>
    <w:rsid w:val="00FD7E9C"/>
    <w:rsid w:val="00FE2E91"/>
    <w:rsid w:val="00FE334E"/>
    <w:rsid w:val="00FE33B9"/>
    <w:rsid w:val="00FE3683"/>
    <w:rsid w:val="00FE3DB4"/>
    <w:rsid w:val="00FF00CE"/>
    <w:rsid w:val="00FF0956"/>
    <w:rsid w:val="00FF0E7B"/>
    <w:rsid w:val="00FF1203"/>
    <w:rsid w:val="00FF4BD3"/>
    <w:rsid w:val="00FF55AE"/>
    <w:rsid w:val="01BA2CC7"/>
    <w:rsid w:val="055B3806"/>
    <w:rsid w:val="05A04E96"/>
    <w:rsid w:val="05E41A4E"/>
    <w:rsid w:val="063B3638"/>
    <w:rsid w:val="064918BF"/>
    <w:rsid w:val="086C45DF"/>
    <w:rsid w:val="08E753B1"/>
    <w:rsid w:val="098E0F41"/>
    <w:rsid w:val="0A31076B"/>
    <w:rsid w:val="0A6020C6"/>
    <w:rsid w:val="0B2D5F4D"/>
    <w:rsid w:val="0B6E6509"/>
    <w:rsid w:val="0C686C0C"/>
    <w:rsid w:val="0CC31C91"/>
    <w:rsid w:val="0D4E1EA3"/>
    <w:rsid w:val="0DC41848"/>
    <w:rsid w:val="0E415563"/>
    <w:rsid w:val="0E4B0D7E"/>
    <w:rsid w:val="0F0E7253"/>
    <w:rsid w:val="1006106D"/>
    <w:rsid w:val="101C3B92"/>
    <w:rsid w:val="104E0903"/>
    <w:rsid w:val="12E0534B"/>
    <w:rsid w:val="13433B2C"/>
    <w:rsid w:val="13CD3235"/>
    <w:rsid w:val="14D35F5F"/>
    <w:rsid w:val="15381932"/>
    <w:rsid w:val="16094BB9"/>
    <w:rsid w:val="16547244"/>
    <w:rsid w:val="168129A1"/>
    <w:rsid w:val="16CB00C0"/>
    <w:rsid w:val="17E013EC"/>
    <w:rsid w:val="18A24E51"/>
    <w:rsid w:val="18F5267A"/>
    <w:rsid w:val="195E521C"/>
    <w:rsid w:val="19931780"/>
    <w:rsid w:val="1A0D4313"/>
    <w:rsid w:val="1AC27242"/>
    <w:rsid w:val="1B9146BC"/>
    <w:rsid w:val="1D045212"/>
    <w:rsid w:val="1EF9563F"/>
    <w:rsid w:val="1FCA53B9"/>
    <w:rsid w:val="2014630C"/>
    <w:rsid w:val="22261A6E"/>
    <w:rsid w:val="22C037A0"/>
    <w:rsid w:val="251C3573"/>
    <w:rsid w:val="2556149D"/>
    <w:rsid w:val="25A9375F"/>
    <w:rsid w:val="275111DF"/>
    <w:rsid w:val="28620159"/>
    <w:rsid w:val="28EA7C1E"/>
    <w:rsid w:val="29226266"/>
    <w:rsid w:val="2A762D0F"/>
    <w:rsid w:val="2AE94336"/>
    <w:rsid w:val="2AED63FF"/>
    <w:rsid w:val="2B580FEA"/>
    <w:rsid w:val="2BD63337"/>
    <w:rsid w:val="2C9B7CA1"/>
    <w:rsid w:val="2D6C52A2"/>
    <w:rsid w:val="2D7D1D5B"/>
    <w:rsid w:val="2F1E46E3"/>
    <w:rsid w:val="308B46F0"/>
    <w:rsid w:val="30C850E3"/>
    <w:rsid w:val="31CC5842"/>
    <w:rsid w:val="31E25976"/>
    <w:rsid w:val="331A245F"/>
    <w:rsid w:val="33C04C90"/>
    <w:rsid w:val="343B7F06"/>
    <w:rsid w:val="34956F22"/>
    <w:rsid w:val="35942299"/>
    <w:rsid w:val="35AB751E"/>
    <w:rsid w:val="35F0755E"/>
    <w:rsid w:val="36FC6348"/>
    <w:rsid w:val="37E20DBD"/>
    <w:rsid w:val="38516F80"/>
    <w:rsid w:val="385536BB"/>
    <w:rsid w:val="38E253A3"/>
    <w:rsid w:val="390B4E92"/>
    <w:rsid w:val="39180AEB"/>
    <w:rsid w:val="3B2753FF"/>
    <w:rsid w:val="3BF207F1"/>
    <w:rsid w:val="3C65673D"/>
    <w:rsid w:val="3CAF5738"/>
    <w:rsid w:val="3D7202DA"/>
    <w:rsid w:val="3DAF5796"/>
    <w:rsid w:val="3E524A9F"/>
    <w:rsid w:val="3EA23AC2"/>
    <w:rsid w:val="3EEA4108"/>
    <w:rsid w:val="3F14504E"/>
    <w:rsid w:val="414F52C6"/>
    <w:rsid w:val="425822C6"/>
    <w:rsid w:val="42B53B58"/>
    <w:rsid w:val="42CD4349"/>
    <w:rsid w:val="43673E1C"/>
    <w:rsid w:val="437B6846"/>
    <w:rsid w:val="4A242DDD"/>
    <w:rsid w:val="4A394D65"/>
    <w:rsid w:val="4A594F9C"/>
    <w:rsid w:val="4AFC61F8"/>
    <w:rsid w:val="4B3B68BB"/>
    <w:rsid w:val="4D0C49B3"/>
    <w:rsid w:val="4D3406AA"/>
    <w:rsid w:val="4EE23C1E"/>
    <w:rsid w:val="4EF011A5"/>
    <w:rsid w:val="52011ABA"/>
    <w:rsid w:val="52632F84"/>
    <w:rsid w:val="52C3130C"/>
    <w:rsid w:val="52DC618E"/>
    <w:rsid w:val="540B2A77"/>
    <w:rsid w:val="54594C92"/>
    <w:rsid w:val="54DA168A"/>
    <w:rsid w:val="55D32210"/>
    <w:rsid w:val="56151419"/>
    <w:rsid w:val="565F5B54"/>
    <w:rsid w:val="571132F2"/>
    <w:rsid w:val="573C5BD0"/>
    <w:rsid w:val="58DE7204"/>
    <w:rsid w:val="59B55A23"/>
    <w:rsid w:val="59CA0C7A"/>
    <w:rsid w:val="59E4650D"/>
    <w:rsid w:val="59FE7432"/>
    <w:rsid w:val="5A4F0854"/>
    <w:rsid w:val="5AFA55CA"/>
    <w:rsid w:val="5B3C46B5"/>
    <w:rsid w:val="5BBE50CA"/>
    <w:rsid w:val="5CD24D8F"/>
    <w:rsid w:val="5E18378B"/>
    <w:rsid w:val="5E712136"/>
    <w:rsid w:val="5EBB3668"/>
    <w:rsid w:val="5F30008D"/>
    <w:rsid w:val="6075770C"/>
    <w:rsid w:val="60824919"/>
    <w:rsid w:val="635751BA"/>
    <w:rsid w:val="63BA734C"/>
    <w:rsid w:val="666139D7"/>
    <w:rsid w:val="67674868"/>
    <w:rsid w:val="684B418A"/>
    <w:rsid w:val="68E32614"/>
    <w:rsid w:val="694921C5"/>
    <w:rsid w:val="6A0F36DC"/>
    <w:rsid w:val="6B792DBC"/>
    <w:rsid w:val="6BA73981"/>
    <w:rsid w:val="6EB72579"/>
    <w:rsid w:val="708C2E53"/>
    <w:rsid w:val="70B6470C"/>
    <w:rsid w:val="70CA396B"/>
    <w:rsid w:val="70D70B59"/>
    <w:rsid w:val="71076DC1"/>
    <w:rsid w:val="71F641F5"/>
    <w:rsid w:val="73B65B86"/>
    <w:rsid w:val="7428214A"/>
    <w:rsid w:val="74597C2E"/>
    <w:rsid w:val="746D5205"/>
    <w:rsid w:val="754A549A"/>
    <w:rsid w:val="75E56A26"/>
    <w:rsid w:val="75EF1960"/>
    <w:rsid w:val="769767EC"/>
    <w:rsid w:val="77D11613"/>
    <w:rsid w:val="77D87105"/>
    <w:rsid w:val="794964C4"/>
    <w:rsid w:val="795D00AD"/>
    <w:rsid w:val="7A2A4A6B"/>
    <w:rsid w:val="7B7470FC"/>
    <w:rsid w:val="7B803CF3"/>
    <w:rsid w:val="7BA5472B"/>
    <w:rsid w:val="7BBC4FE2"/>
    <w:rsid w:val="7D4C20DE"/>
    <w:rsid w:val="7E355268"/>
    <w:rsid w:val="7F761695"/>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qFormat/>
    <w:uiPriority w:val="9"/>
    <w:pPr>
      <w:keepNext/>
      <w:keepLines/>
      <w:widowControl w:val="0"/>
      <w:spacing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Indent"/>
    <w:basedOn w:val="1"/>
    <w:link w:val="20"/>
    <w:qFormat/>
    <w:uiPriority w:val="0"/>
    <w:pPr>
      <w:tabs>
        <w:tab w:val="left" w:pos="2268"/>
      </w:tabs>
      <w:spacing w:line="560" w:lineRule="exact"/>
      <w:ind w:firstLine="600" w:firstLineChars="200"/>
    </w:pPr>
    <w:rPr>
      <w:rFonts w:ascii="仿宋_GB2312" w:hAnsi="Times New Roman" w:eastAsia="仿宋_GB2312"/>
      <w:sz w:val="30"/>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正文文本缩进 字符"/>
    <w:link w:val="5"/>
    <w:qFormat/>
    <w:uiPriority w:val="0"/>
    <w:rPr>
      <w:rFonts w:ascii="仿宋_GB2312" w:hAnsi="Times New Roman" w:eastAsia="仿宋_GB2312"/>
      <w:sz w:val="30"/>
      <w:szCs w:val="24"/>
    </w:rPr>
  </w:style>
  <w:style w:type="character" w:customStyle="1" w:styleId="21">
    <w:name w:val="正文文本缩进 Char"/>
    <w:basedOn w:val="14"/>
    <w:semiHidden/>
    <w:qFormat/>
    <w:uiPriority w:val="99"/>
  </w:style>
  <w:style w:type="character" w:customStyle="1" w:styleId="22">
    <w:name w:val="批注框文本 字符"/>
    <w:basedOn w:val="14"/>
    <w:link w:val="6"/>
    <w:semiHidden/>
    <w:qFormat/>
    <w:uiPriority w:val="99"/>
    <w:rPr>
      <w:sz w:val="18"/>
      <w:szCs w:val="18"/>
    </w:rPr>
  </w:style>
  <w:style w:type="character" w:customStyle="1" w:styleId="23">
    <w:name w:val="标题 2 字符"/>
    <w:basedOn w:val="14"/>
    <w:link w:val="2"/>
    <w:qFormat/>
    <w:uiPriority w:val="9"/>
    <w:rPr>
      <w:rFonts w:ascii="宋体" w:hAnsi="宋体" w:eastAsia="宋体" w:cs="宋体"/>
      <w:b/>
      <w:bCs/>
      <w:kern w:val="0"/>
      <w:sz w:val="36"/>
      <w:szCs w:val="36"/>
    </w:rPr>
  </w:style>
  <w:style w:type="character" w:customStyle="1" w:styleId="24">
    <w:name w:val="批注文字 字符"/>
    <w:basedOn w:val="14"/>
    <w:link w:val="4"/>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character" w:customStyle="1" w:styleId="26">
    <w:name w:val="副标题 字符"/>
    <w:basedOn w:val="14"/>
    <w:link w:val="9"/>
    <w:qFormat/>
    <w:uiPriority w:val="11"/>
    <w:rPr>
      <w:rFonts w:eastAsia="宋体" w:asciiTheme="majorHAnsi" w:hAnsiTheme="majorHAnsi" w:cstheme="majorBidi"/>
      <w:b/>
      <w:bCs/>
      <w:kern w:val="28"/>
      <w:sz w:val="32"/>
      <w:szCs w:val="32"/>
    </w:rPr>
  </w:style>
  <w:style w:type="character" w:customStyle="1" w:styleId="27">
    <w:name w:val="标题 字符"/>
    <w:basedOn w:val="14"/>
    <w:link w:val="10"/>
    <w:qFormat/>
    <w:uiPriority w:val="10"/>
    <w:rPr>
      <w:rFonts w:eastAsia="宋体" w:asciiTheme="majorHAnsi" w:hAnsiTheme="majorHAnsi" w:cstheme="majorBidi"/>
      <w:b/>
      <w:bCs/>
      <w:kern w:val="2"/>
      <w:sz w:val="32"/>
      <w:szCs w:val="32"/>
    </w:rPr>
  </w:style>
  <w:style w:type="paragraph" w:styleId="28">
    <w:name w:val="List Paragraph"/>
    <w:basedOn w:val="1"/>
    <w:qFormat/>
    <w:uiPriority w:val="99"/>
    <w:pPr>
      <w:ind w:firstLine="420" w:firstLineChars="200"/>
    </w:p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30">
    <w:name w:val="Placeholder Text"/>
    <w:basedOn w:val="14"/>
    <w:unhideWhenUsed/>
    <w:qFormat/>
    <w:uiPriority w:val="99"/>
    <w:rPr>
      <w:color w:val="808080"/>
    </w:rPr>
  </w:style>
  <w:style w:type="paragraph" w:customStyle="1" w:styleId="31">
    <w:name w:val="标准文件_段"/>
    <w:link w:val="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标准文件_段 Char"/>
    <w:link w:val="31"/>
    <w:qFormat/>
    <w:uiPriority w:val="0"/>
    <w:rPr>
      <w:rFonts w:ascii="宋体" w:hAnsi="Times New Roman" w:eastAsia="宋体" w:cs="Times New Roman"/>
      <w:sz w:val="21"/>
    </w:rPr>
  </w:style>
  <w:style w:type="paragraph" w:customStyle="1" w:styleId="33">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3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正文1"/>
    <w:qFormat/>
    <w:uiPriority w:val="0"/>
    <w:pPr>
      <w:jc w:val="both"/>
    </w:pPr>
    <w:rPr>
      <w:rFonts w:ascii="Calibri" w:hAnsi="Calibri" w:eastAsia="宋体" w:cs="Calibri"/>
      <w:kern w:val="2"/>
      <w:sz w:val="21"/>
      <w:szCs w:val="21"/>
      <w:lang w:val="en-US" w:eastAsia="zh-CN" w:bidi="ar-SA"/>
    </w:rPr>
  </w:style>
  <w:style w:type="paragraph" w:customStyle="1" w:styleId="36">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hint="eastAsia" w:ascii="宋体" w:hAnsi="宋体" w:eastAsia="宋体" w:cs="宋体"/>
      <w:color w:val="000000"/>
      <w:sz w:val="22"/>
      <w:szCs w:val="22"/>
      <w:u w:val="none"/>
    </w:rPr>
  </w:style>
  <w:style w:type="character" w:customStyle="1" w:styleId="39">
    <w:name w:val="font91"/>
    <w:basedOn w:val="14"/>
    <w:qFormat/>
    <w:uiPriority w:val="0"/>
    <w:rPr>
      <w:rFonts w:hint="default" w:ascii="Times New Roman" w:hAnsi="Times New Roman" w:cs="Times New Roman"/>
      <w:color w:val="000000"/>
      <w:sz w:val="22"/>
      <w:szCs w:val="22"/>
      <w:u w:val="none"/>
    </w:rPr>
  </w:style>
  <w:style w:type="character" w:customStyle="1" w:styleId="40">
    <w:name w:val="font21"/>
    <w:basedOn w:val="14"/>
    <w:qFormat/>
    <w:uiPriority w:val="0"/>
    <w:rPr>
      <w:rFonts w:hint="eastAsia" w:ascii="宋体" w:hAnsi="宋体" w:eastAsia="宋体" w:cs="宋体"/>
      <w:color w:val="000000"/>
      <w:sz w:val="22"/>
      <w:szCs w:val="22"/>
      <w:u w:val="none"/>
    </w:rPr>
  </w:style>
  <w:style w:type="character" w:customStyle="1" w:styleId="41">
    <w:name w:val="font71"/>
    <w:basedOn w:val="14"/>
    <w:qFormat/>
    <w:uiPriority w:val="0"/>
    <w:rPr>
      <w:rFonts w:hint="default" w:ascii="Times New Roman" w:hAnsi="Times New Roman" w:cs="Times New Roman"/>
      <w:color w:val="000000"/>
      <w:sz w:val="22"/>
      <w:szCs w:val="22"/>
      <w:u w:val="none"/>
    </w:rPr>
  </w:style>
  <w:style w:type="character" w:customStyle="1" w:styleId="42">
    <w:name w:val="font8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image" Target="media/image1.jpe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4%20&#39033;&#30446;\3-EDV&#26631;&#20934;\6-&#26792;EDV&#26631;&#20934;\&#27010;&#29575;&#25512;&#3163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4%20&#39033;&#30446;\3-EDV&#26631;&#20934;\6-&#26792;EDV&#26631;&#20934;\&#27010;&#29575;&#25512;&#31639;&#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4%20&#39033;&#30446;\3-EDV&#26631;&#20934;\6-&#26792;EDV&#26631;&#20934;\&#26792;&#21697;&#31181;&#26816;&#27979;&#32467;&#2652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4%20&#39033;&#30446;\3-EDV&#26631;&#20934;\6-&#26792;EDV&#26631;&#20934;\&#26792;&#21697;&#31181;&#26816;&#27979;&#32467;&#265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4%20&#39033;&#30446;\3-EDV&#26631;&#20934;\6-&#26792;EDV&#26631;&#20934;\&#26792;-EDV-&#26631;&#20934;&#25968;&#25454;20241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[概率推算表.xlsx]标记数量的概率!$B$1</c:f>
              <c:strCache>
                <c:ptCount val="1"/>
                <c:pt idx="0">
                  <c:v>正确判定实质性派生品种的概率</c:v>
                </c:pt>
              </c:strCache>
            </c:strRef>
          </c:tx>
          <c:spPr>
            <a:ln w="19050" cap="rnd">
              <a:solidFill>
                <a:schemeClr val="accent1"/>
              </a:solidFill>
              <a:round/>
            </a:ln>
            <a:effectLst/>
          </c:spPr>
          <c:marker>
            <c:symbol val="circle"/>
            <c:size val="5"/>
            <c:spPr>
              <a:noFill/>
              <a:ln w="9525">
                <a:noFill/>
              </a:ln>
              <a:effectLst/>
            </c:spPr>
          </c:marker>
          <c:dLbls>
            <c:delete val="1"/>
          </c:dLbls>
          <c:xVal>
            <c:numRef>
              <c:f>[概率推算表.xlsx]标记数量的概率!$A$2:$A$17</c:f>
              <c:numCache>
                <c:formatCode>General</c:formatCode>
                <c:ptCount val="16"/>
                <c:pt idx="0">
                  <c:v>10</c:v>
                </c:pt>
                <c:pt idx="1">
                  <c:v>48</c:v>
                </c:pt>
                <c:pt idx="2">
                  <c:v>100</c:v>
                </c:pt>
                <c:pt idx="3">
                  <c:v>120</c:v>
                </c:pt>
                <c:pt idx="4">
                  <c:v>150</c:v>
                </c:pt>
                <c:pt idx="5">
                  <c:v>200</c:v>
                </c:pt>
                <c:pt idx="6">
                  <c:v>250</c:v>
                </c:pt>
                <c:pt idx="7">
                  <c:v>300</c:v>
                </c:pt>
                <c:pt idx="8">
                  <c:v>310</c:v>
                </c:pt>
                <c:pt idx="9">
                  <c:v>350</c:v>
                </c:pt>
                <c:pt idx="10">
                  <c:v>400</c:v>
                </c:pt>
                <c:pt idx="11">
                  <c:v>450</c:v>
                </c:pt>
                <c:pt idx="12">
                  <c:v>500</c:v>
                </c:pt>
                <c:pt idx="13">
                  <c:v>512</c:v>
                </c:pt>
                <c:pt idx="14">
                  <c:v>550</c:v>
                </c:pt>
                <c:pt idx="15">
                  <c:v>600</c:v>
                </c:pt>
              </c:numCache>
            </c:numRef>
          </c:xVal>
          <c:yVal>
            <c:numRef>
              <c:f>[概率推算表.xlsx]标记数量的概率!$B$2:$B$17</c:f>
              <c:numCache>
                <c:formatCode>0.00%</c:formatCode>
                <c:ptCount val="16"/>
                <c:pt idx="0">
                  <c:v>0.610820027476263</c:v>
                </c:pt>
                <c:pt idx="1">
                  <c:v>0.920161758714354</c:v>
                </c:pt>
                <c:pt idx="2">
                  <c:v>0.977663183823431</c:v>
                </c:pt>
                <c:pt idx="3">
                  <c:v>0.986860777908906</c:v>
                </c:pt>
                <c:pt idx="4">
                  <c:v>0.993959341241795</c:v>
                </c:pt>
                <c:pt idx="5">
                  <c:v>0.998290698557577</c:v>
                </c:pt>
                <c:pt idx="6">
                  <c:v>0.999503588834036</c:v>
                </c:pt>
                <c:pt idx="7">
                  <c:v>0.999853366354973</c:v>
                </c:pt>
                <c:pt idx="8">
                  <c:v>0.99988492319361</c:v>
                </c:pt>
                <c:pt idx="9">
                  <c:v>0.999956164053004</c:v>
                </c:pt>
                <c:pt idx="10">
                  <c:v>0.999986777754745</c:v>
                </c:pt>
                <c:pt idx="11">
                  <c:v>0.999995984086962</c:v>
                </c:pt>
                <c:pt idx="12">
                  <c:v>0.999998773519015</c:v>
                </c:pt>
                <c:pt idx="13">
                  <c:v>0.999999521237806</c:v>
                </c:pt>
                <c:pt idx="14">
                  <c:v>0.999999623733322</c:v>
                </c:pt>
                <c:pt idx="15">
                  <c:v>0.999999884132651</c:v>
                </c:pt>
              </c:numCache>
            </c:numRef>
          </c:yVal>
          <c:smooth val="0"/>
        </c:ser>
        <c:dLbls>
          <c:showLegendKey val="0"/>
          <c:showVal val="0"/>
          <c:showCatName val="0"/>
          <c:showSerName val="0"/>
          <c:showPercent val="0"/>
          <c:showBubbleSize val="0"/>
        </c:dLbls>
        <c:axId val="1995699952"/>
        <c:axId val="1996251264"/>
      </c:scatterChart>
      <c:valAx>
        <c:axId val="199569995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标记数量</a:t>
                </a:r>
                <a:endParaRPr lang="zh-CN" altLang="en-US"/>
              </a:p>
            </c:rich>
          </c:tx>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6251264"/>
        <c:crossesAt val="0"/>
        <c:crossBetween val="midCat"/>
        <c:majorUnit val="50"/>
        <c:minorUnit val="20"/>
      </c:valAx>
      <c:valAx>
        <c:axId val="199625126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正确判定</a:t>
                </a:r>
                <a:r>
                  <a:rPr lang="en-US" altLang="zh-CN"/>
                  <a:t>EDV</a:t>
                </a:r>
                <a:r>
                  <a:rPr lang="zh-CN" altLang="en-US"/>
                  <a:t>的概率</a:t>
                </a:r>
                <a:endParaRPr lang="zh-CN" altLang="en-US"/>
              </a:p>
            </c:rich>
          </c:tx>
          <c:layout/>
          <c:overlay val="0"/>
          <c:spPr>
            <a:noFill/>
            <a:ln>
              <a:noFill/>
            </a:ln>
            <a:effectLst/>
          </c:spPr>
        </c:title>
        <c:numFmt formatCode="0.00%"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5699952"/>
        <c:crosses val="autoZero"/>
        <c:crossBetween val="midCat"/>
        <c:majorUnit val="0.1"/>
      </c:valAx>
      <c:spPr>
        <a:noFill/>
        <a:ln>
          <a:noFill/>
        </a:ln>
        <a:effectLst/>
      </c:spPr>
    </c:plotArea>
    <c:plotVisOnly val="1"/>
    <c:dispBlanksAs val="gap"/>
    <c:showDLblsOverMax val="0"/>
    <c:extLst>
      <c:ext uri="{0b15fc19-7d7d-44ad-8c2d-2c3a37ce22c3}">
        <chartProps xmlns="https://web.wps.cn/et/2018/main" chartId="{366fea09-b391-4028-8547-76a80453ba51}"/>
      </c:ext>
    </c:extLst>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chemeClr val="accent2"/>
              </a:solidFill>
              <a:round/>
            </a:ln>
            <a:effectLst/>
          </c:spPr>
          <c:marker>
            <c:symbol val="none"/>
          </c:marker>
          <c:dLbls>
            <c:delete val="1"/>
          </c:dLbls>
          <c:cat>
            <c:numRef>
              <c:f>[概率推算表.xlsx]标记数量的概率!$A$3:$A$26</c:f>
              <c:numCache>
                <c:formatCode>General</c:formatCode>
                <c:ptCount val="24"/>
                <c:pt idx="0">
                  <c:v>48</c:v>
                </c:pt>
                <c:pt idx="1">
                  <c:v>100</c:v>
                </c:pt>
                <c:pt idx="2">
                  <c:v>120</c:v>
                </c:pt>
                <c:pt idx="3">
                  <c:v>150</c:v>
                </c:pt>
                <c:pt idx="4">
                  <c:v>200</c:v>
                </c:pt>
                <c:pt idx="5">
                  <c:v>250</c:v>
                </c:pt>
                <c:pt idx="6">
                  <c:v>300</c:v>
                </c:pt>
                <c:pt idx="7">
                  <c:v>310</c:v>
                </c:pt>
                <c:pt idx="8">
                  <c:v>350</c:v>
                </c:pt>
                <c:pt idx="9">
                  <c:v>400</c:v>
                </c:pt>
                <c:pt idx="10">
                  <c:v>450</c:v>
                </c:pt>
                <c:pt idx="11">
                  <c:v>500</c:v>
                </c:pt>
                <c:pt idx="12">
                  <c:v>512</c:v>
                </c:pt>
                <c:pt idx="13">
                  <c:v>550</c:v>
                </c:pt>
                <c:pt idx="14">
                  <c:v>600</c:v>
                </c:pt>
                <c:pt idx="15">
                  <c:v>650</c:v>
                </c:pt>
                <c:pt idx="16">
                  <c:v>700</c:v>
                </c:pt>
                <c:pt idx="17">
                  <c:v>750</c:v>
                </c:pt>
                <c:pt idx="18">
                  <c:v>800</c:v>
                </c:pt>
                <c:pt idx="19">
                  <c:v>850</c:v>
                </c:pt>
                <c:pt idx="20">
                  <c:v>900</c:v>
                </c:pt>
                <c:pt idx="21">
                  <c:v>950</c:v>
                </c:pt>
                <c:pt idx="22">
                  <c:v>1000</c:v>
                </c:pt>
                <c:pt idx="23">
                  <c:v>1050</c:v>
                </c:pt>
              </c:numCache>
            </c:numRef>
          </c:cat>
          <c:val>
            <c:numRef>
              <c:f>[概率推算表.xlsx]标记数量的概率!$C$3:$C$26</c:f>
              <c:numCache>
                <c:formatCode>0.00%</c:formatCode>
                <c:ptCount val="24"/>
                <c:pt idx="0">
                  <c:v>0.872571048165844</c:v>
                </c:pt>
                <c:pt idx="1">
                  <c:v>0.95898950478804</c:v>
                </c:pt>
                <c:pt idx="2">
                  <c:v>0.979879239118009</c:v>
                </c:pt>
                <c:pt idx="3">
                  <c:v>0.986313283241131</c:v>
                </c:pt>
                <c:pt idx="4">
                  <c:v>0.995221298958833</c:v>
                </c:pt>
                <c:pt idx="5">
                  <c:v>0.998287836236327</c:v>
                </c:pt>
                <c:pt idx="6">
                  <c:v>0.999376121347168</c:v>
                </c:pt>
                <c:pt idx="7">
                  <c:v>0.999758687428378</c:v>
                </c:pt>
                <c:pt idx="8">
                  <c:v>0.999769950208227</c:v>
                </c:pt>
                <c:pt idx="9">
                  <c:v>0.999914415955326</c:v>
                </c:pt>
                <c:pt idx="10">
                  <c:v>0.999967941311347</c:v>
                </c:pt>
                <c:pt idx="11">
                  <c:v>0.999987925237546</c:v>
                </c:pt>
                <c:pt idx="12">
                  <c:v>0.999994916568353</c:v>
                </c:pt>
                <c:pt idx="13">
                  <c:v>0.999995431687016</c:v>
                </c:pt>
                <c:pt idx="14">
                  <c:v>0.999998265189176</c:v>
                </c:pt>
                <c:pt idx="15">
                  <c:v>0.999999993879953</c:v>
                </c:pt>
                <c:pt idx="16">
                  <c:v>0.999999998359073</c:v>
                </c:pt>
                <c:pt idx="17">
                  <c:v>0.999999999558972</c:v>
                </c:pt>
                <c:pt idx="18">
                  <c:v>0.999999999881217</c:v>
                </c:pt>
                <c:pt idx="19">
                  <c:v>0.999999999967949</c:v>
                </c:pt>
                <c:pt idx="20">
                  <c:v>0.999999999991337</c:v>
                </c:pt>
                <c:pt idx="21">
                  <c:v>0.999999999997655</c:v>
                </c:pt>
                <c:pt idx="22">
                  <c:v>0.999999999999365</c:v>
                </c:pt>
                <c:pt idx="23">
                  <c:v>0.999999999999828</c:v>
                </c:pt>
              </c:numCache>
            </c:numRef>
          </c:val>
          <c:smooth val="0"/>
        </c:ser>
        <c:dLbls>
          <c:showLegendKey val="0"/>
          <c:showVal val="0"/>
          <c:showCatName val="0"/>
          <c:showSerName val="0"/>
          <c:showPercent val="0"/>
          <c:showBubbleSize val="0"/>
        </c:dLbls>
        <c:marker val="0"/>
        <c:smooth val="0"/>
        <c:axId val="810192080"/>
        <c:axId val="810190112"/>
      </c:lineChart>
      <c:catAx>
        <c:axId val="8101920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标记数量</a:t>
                </a:r>
                <a:endParaRPr lang="zh-CN" altLang="en-US"/>
              </a:p>
            </c:rich>
          </c:tx>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190112"/>
        <c:crosses val="autoZero"/>
        <c:auto val="1"/>
        <c:lblAlgn val="ctr"/>
        <c:lblOffset val="100"/>
        <c:noMultiLvlLbl val="0"/>
      </c:catAx>
      <c:valAx>
        <c:axId val="810190112"/>
        <c:scaling>
          <c:orientation val="minMax"/>
          <c:max val="1"/>
          <c:min val="0.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品种真实性鉴定结论正确的概率</a:t>
                </a:r>
                <a:endParaRPr lang="zh-CN" altLang="en-US"/>
              </a:p>
            </c:rich>
          </c:tx>
          <c:layout/>
          <c:overlay val="0"/>
          <c:spPr>
            <a:noFill/>
            <a:ln>
              <a:noFill/>
            </a:ln>
            <a:effectLst/>
          </c:sp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192080"/>
        <c:crosses val="autoZero"/>
        <c:crossBetween val="between"/>
      </c:valAx>
      <c:spPr>
        <a:noFill/>
        <a:ln>
          <a:noFill/>
        </a:ln>
        <a:effectLst/>
      </c:spPr>
    </c:plotArea>
    <c:plotVisOnly val="1"/>
    <c:dispBlanksAs val="gap"/>
    <c:showDLblsOverMax val="0"/>
    <c:extLst>
      <c:ext uri="{0b15fc19-7d7d-44ad-8c2d-2c3a37ce22c3}">
        <chartProps xmlns="https://web.wps.cn/et/2018/main" chartId="{967126d6-3956-4900-89a6-a958365c7f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梨样品标记覆盖倍数与位点检出率</a:t>
            </a:r>
          </a:p>
        </c:rich>
      </c:tx>
      <c:layout>
        <c:manualLayout>
          <c:xMode val="edge"/>
          <c:yMode val="edge"/>
          <c:x val="0.298012422360248"/>
          <c:y val="0.0217045001991239"/>
        </c:manualLayout>
      </c:layout>
      <c:overlay val="0"/>
      <c:spPr>
        <a:noFill/>
        <a:ln>
          <a:noFill/>
        </a:ln>
        <a:effectLst/>
      </c:spPr>
    </c:title>
    <c:autoTitleDeleted val="0"/>
    <c:plotArea>
      <c:layout/>
      <c:lineChart>
        <c:grouping val="standard"/>
        <c:varyColors val="0"/>
        <c:ser>
          <c:idx val="0"/>
          <c:order val="0"/>
          <c:tx>
            <c:strRef>
              <c:f>[梨品种检测结果.xlsx]覆盖度!$E$1</c:f>
              <c:strCache>
                <c:ptCount val="1"/>
                <c:pt idx="0">
                  <c:v>标记检出率</c:v>
                </c:pt>
              </c:strCache>
            </c:strRef>
          </c:tx>
          <c:spPr>
            <a:ln w="28575" cap="rnd">
              <a:solidFill>
                <a:schemeClr val="accent1"/>
              </a:solidFill>
              <a:round/>
            </a:ln>
            <a:effectLst/>
          </c:spPr>
          <c:marker>
            <c:symbol val="none"/>
          </c:marker>
          <c:dLbls>
            <c:delete val="1"/>
          </c:dLbls>
          <c:val>
            <c:numRef>
              <c:f>[梨品种检测结果.xlsx]覆盖度!$E$2:$E$172</c:f>
              <c:numCache>
                <c:formatCode>0.00%</c:formatCode>
                <c:ptCount val="171"/>
                <c:pt idx="0">
                  <c:v>0.751612903225806</c:v>
                </c:pt>
                <c:pt idx="1">
                  <c:v>0.729032258064516</c:v>
                </c:pt>
                <c:pt idx="2">
                  <c:v>0.506451612903226</c:v>
                </c:pt>
                <c:pt idx="3">
                  <c:v>0.780645161290323</c:v>
                </c:pt>
                <c:pt idx="4">
                  <c:v>0.803225806451613</c:v>
                </c:pt>
                <c:pt idx="5">
                  <c:v>0.841935483870968</c:v>
                </c:pt>
                <c:pt idx="6">
                  <c:v>0.583870967741935</c:v>
                </c:pt>
                <c:pt idx="7">
                  <c:v>0.77741935483871</c:v>
                </c:pt>
                <c:pt idx="8">
                  <c:v>0.77741935483871</c:v>
                </c:pt>
                <c:pt idx="9">
                  <c:v>0.906451612903226</c:v>
                </c:pt>
                <c:pt idx="10">
                  <c:v>0.409677419354839</c:v>
                </c:pt>
                <c:pt idx="11">
                  <c:v>0.474193548387097</c:v>
                </c:pt>
                <c:pt idx="12">
                  <c:v>0.883870967741936</c:v>
                </c:pt>
                <c:pt idx="13">
                  <c:v>0.932258064516129</c:v>
                </c:pt>
                <c:pt idx="14">
                  <c:v>0.648387096774194</c:v>
                </c:pt>
                <c:pt idx="15">
                  <c:v>0.687096774193548</c:v>
                </c:pt>
                <c:pt idx="16">
                  <c:v>0.793548387096774</c:v>
                </c:pt>
                <c:pt idx="17">
                  <c:v>0.970967741935484</c:v>
                </c:pt>
                <c:pt idx="18">
                  <c:v>0.959354838709677</c:v>
                </c:pt>
                <c:pt idx="19">
                  <c:v>0.956129032258064</c:v>
                </c:pt>
                <c:pt idx="20">
                  <c:v>0.97741935483871</c:v>
                </c:pt>
                <c:pt idx="21">
                  <c:v>0.964516129032258</c:v>
                </c:pt>
                <c:pt idx="22">
                  <c:v>0.993548387096774</c:v>
                </c:pt>
                <c:pt idx="23">
                  <c:v>0.993548387096774</c:v>
                </c:pt>
                <c:pt idx="24">
                  <c:v>0.993548387096774</c:v>
                </c:pt>
                <c:pt idx="25">
                  <c:v>0.97741935483871</c:v>
                </c:pt>
                <c:pt idx="26">
                  <c:v>0.967741935483871</c:v>
                </c:pt>
                <c:pt idx="27">
                  <c:v>0.954838709677419</c:v>
                </c:pt>
                <c:pt idx="28">
                  <c:v>0.935483870967742</c:v>
                </c:pt>
                <c:pt idx="29">
                  <c:v>0.983870967741935</c:v>
                </c:pt>
                <c:pt idx="30">
                  <c:v>0.987096774193548</c:v>
                </c:pt>
                <c:pt idx="31">
                  <c:v>0.945161290322581</c:v>
                </c:pt>
                <c:pt idx="32">
                  <c:v>0.983870967741935</c:v>
                </c:pt>
                <c:pt idx="33">
                  <c:v>0.953870967741936</c:v>
                </c:pt>
                <c:pt idx="34">
                  <c:v>0.890322580645161</c:v>
                </c:pt>
                <c:pt idx="35">
                  <c:v>0.97741935483871</c:v>
                </c:pt>
                <c:pt idx="36">
                  <c:v>0.983870967741935</c:v>
                </c:pt>
                <c:pt idx="37">
                  <c:v>0.983870967741935</c:v>
                </c:pt>
                <c:pt idx="38">
                  <c:v>0.983870967741935</c:v>
                </c:pt>
                <c:pt idx="39">
                  <c:v>0.987096774193548</c:v>
                </c:pt>
                <c:pt idx="40">
                  <c:v>0.874193548387097</c:v>
                </c:pt>
                <c:pt idx="41">
                  <c:v>0.967741935483871</c:v>
                </c:pt>
                <c:pt idx="42">
                  <c:v>0.980645161290323</c:v>
                </c:pt>
                <c:pt idx="43">
                  <c:v>0.964516129032258</c:v>
                </c:pt>
                <c:pt idx="44">
                  <c:v>0.97741935483871</c:v>
                </c:pt>
                <c:pt idx="45">
                  <c:v>0.945161290322581</c:v>
                </c:pt>
                <c:pt idx="46">
                  <c:v>0.983870967741935</c:v>
                </c:pt>
                <c:pt idx="47">
                  <c:v>0.954838709677419</c:v>
                </c:pt>
                <c:pt idx="48">
                  <c:v>0.990322580645161</c:v>
                </c:pt>
                <c:pt idx="49">
                  <c:v>0.951612903225806</c:v>
                </c:pt>
                <c:pt idx="50">
                  <c:v>0.97741935483871</c:v>
                </c:pt>
                <c:pt idx="51">
                  <c:v>0.97741935483871</c:v>
                </c:pt>
                <c:pt idx="52">
                  <c:v>0.97741935483871</c:v>
                </c:pt>
                <c:pt idx="53">
                  <c:v>0.993548387096774</c:v>
                </c:pt>
                <c:pt idx="54">
                  <c:v>0.948387096774194</c:v>
                </c:pt>
                <c:pt idx="55">
                  <c:v>0.993548387096774</c:v>
                </c:pt>
                <c:pt idx="56">
                  <c:v>0.987096774193548</c:v>
                </c:pt>
                <c:pt idx="57">
                  <c:v>0.987096774193548</c:v>
                </c:pt>
                <c:pt idx="58">
                  <c:v>0.987096774193548</c:v>
                </c:pt>
                <c:pt idx="59">
                  <c:v>0.987096774193548</c:v>
                </c:pt>
                <c:pt idx="60">
                  <c:v>0.996774193548387</c:v>
                </c:pt>
                <c:pt idx="61">
                  <c:v>0.964516129032258</c:v>
                </c:pt>
                <c:pt idx="62">
                  <c:v>0.990322580645161</c:v>
                </c:pt>
                <c:pt idx="63">
                  <c:v>0.996774193548387</c:v>
                </c:pt>
                <c:pt idx="64">
                  <c:v>0.990322580645161</c:v>
                </c:pt>
                <c:pt idx="65">
                  <c:v>0.987096774193548</c:v>
                </c:pt>
                <c:pt idx="66">
                  <c:v>0.990322580645161</c:v>
                </c:pt>
                <c:pt idx="67">
                  <c:v>0.983870967741935</c:v>
                </c:pt>
                <c:pt idx="68">
                  <c:v>0.97741935483871</c:v>
                </c:pt>
                <c:pt idx="69">
                  <c:v>0.990322580645161</c:v>
                </c:pt>
                <c:pt idx="70">
                  <c:v>0.990322580645161</c:v>
                </c:pt>
                <c:pt idx="71">
                  <c:v>0.990322580645161</c:v>
                </c:pt>
                <c:pt idx="72">
                  <c:v>0.938709677419355</c:v>
                </c:pt>
                <c:pt idx="73">
                  <c:v>0.993548387096774</c:v>
                </c:pt>
                <c:pt idx="74">
                  <c:v>0.996774193548387</c:v>
                </c:pt>
                <c:pt idx="75">
                  <c:v>0.993548387096774</c:v>
                </c:pt>
                <c:pt idx="76">
                  <c:v>0.967741935483871</c:v>
                </c:pt>
                <c:pt idx="77">
                  <c:v>0.996774193548387</c:v>
                </c:pt>
                <c:pt idx="78">
                  <c:v>0.990322580645161</c:v>
                </c:pt>
                <c:pt idx="79">
                  <c:v>0.990322580645161</c:v>
                </c:pt>
                <c:pt idx="80">
                  <c:v>0.990322580645161</c:v>
                </c:pt>
                <c:pt idx="81">
                  <c:v>0.92258064516129</c:v>
                </c:pt>
                <c:pt idx="82">
                  <c:v>0.990322580645161</c:v>
                </c:pt>
                <c:pt idx="83">
                  <c:v>0.964516129032258</c:v>
                </c:pt>
                <c:pt idx="84">
                  <c:v>0.932258064516129</c:v>
                </c:pt>
                <c:pt idx="85">
                  <c:v>0.983870967741935</c:v>
                </c:pt>
                <c:pt idx="86">
                  <c:v>0.990322580645161</c:v>
                </c:pt>
                <c:pt idx="87">
                  <c:v>0.896774193548387</c:v>
                </c:pt>
                <c:pt idx="88">
                  <c:v>0.954838709677419</c:v>
                </c:pt>
                <c:pt idx="89">
                  <c:v>1</c:v>
                </c:pt>
                <c:pt idx="90">
                  <c:v>1</c:v>
                </c:pt>
                <c:pt idx="91">
                  <c:v>0.97741935483871</c:v>
                </c:pt>
                <c:pt idx="92">
                  <c:v>0.990322580645161</c:v>
                </c:pt>
                <c:pt idx="93">
                  <c:v>0.996774193548387</c:v>
                </c:pt>
                <c:pt idx="94">
                  <c:v>0.996774193548387</c:v>
                </c:pt>
                <c:pt idx="95">
                  <c:v>0.996774193548387</c:v>
                </c:pt>
                <c:pt idx="96">
                  <c:v>1</c:v>
                </c:pt>
                <c:pt idx="97">
                  <c:v>0.987096774193548</c:v>
                </c:pt>
                <c:pt idx="98">
                  <c:v>0.983870967741935</c:v>
                </c:pt>
                <c:pt idx="99">
                  <c:v>0.996774193548387</c:v>
                </c:pt>
                <c:pt idx="100">
                  <c:v>0.983870967741935</c:v>
                </c:pt>
                <c:pt idx="101">
                  <c:v>0.987096774193548</c:v>
                </c:pt>
                <c:pt idx="102">
                  <c:v>0.996774193548387</c:v>
                </c:pt>
                <c:pt idx="103">
                  <c:v>0.980645161290323</c:v>
                </c:pt>
                <c:pt idx="104">
                  <c:v>0.993548387096774</c:v>
                </c:pt>
                <c:pt idx="105">
                  <c:v>0.993548387096774</c:v>
                </c:pt>
                <c:pt idx="106">
                  <c:v>0.990322580645161</c:v>
                </c:pt>
                <c:pt idx="107">
                  <c:v>0.983870967741935</c:v>
                </c:pt>
                <c:pt idx="108">
                  <c:v>0.958064516129032</c:v>
                </c:pt>
                <c:pt idx="109">
                  <c:v>0.996774193548387</c:v>
                </c:pt>
                <c:pt idx="110">
                  <c:v>0.961290322580645</c:v>
                </c:pt>
                <c:pt idx="111">
                  <c:v>0.993548387096774</c:v>
                </c:pt>
                <c:pt idx="112">
                  <c:v>0.970967741935484</c:v>
                </c:pt>
                <c:pt idx="113">
                  <c:v>0.938709677419355</c:v>
                </c:pt>
                <c:pt idx="114">
                  <c:v>0.990322580645161</c:v>
                </c:pt>
                <c:pt idx="115">
                  <c:v>0.996774193548387</c:v>
                </c:pt>
                <c:pt idx="116">
                  <c:v>0.987096774193548</c:v>
                </c:pt>
                <c:pt idx="117">
                  <c:v>0.983870967741935</c:v>
                </c:pt>
                <c:pt idx="118">
                  <c:v>0.993548387096774</c:v>
                </c:pt>
                <c:pt idx="119">
                  <c:v>0.996774193548387</c:v>
                </c:pt>
                <c:pt idx="120">
                  <c:v>0.996774193548387</c:v>
                </c:pt>
                <c:pt idx="121">
                  <c:v>0.990322580645161</c:v>
                </c:pt>
                <c:pt idx="122">
                  <c:v>0.948387096774194</c:v>
                </c:pt>
                <c:pt idx="123">
                  <c:v>0.996774193548387</c:v>
                </c:pt>
                <c:pt idx="124">
                  <c:v>0.993548387096774</c:v>
                </c:pt>
                <c:pt idx="125">
                  <c:v>0.990322580645161</c:v>
                </c:pt>
                <c:pt idx="126">
                  <c:v>0.983870967741935</c:v>
                </c:pt>
                <c:pt idx="127">
                  <c:v>0.970967741935484</c:v>
                </c:pt>
                <c:pt idx="128">
                  <c:v>0.980645161290323</c:v>
                </c:pt>
                <c:pt idx="129">
                  <c:v>0.990322580645161</c:v>
                </c:pt>
                <c:pt idx="130">
                  <c:v>0.990322580645161</c:v>
                </c:pt>
                <c:pt idx="131">
                  <c:v>0.996774193548387</c:v>
                </c:pt>
                <c:pt idx="132">
                  <c:v>1</c:v>
                </c:pt>
                <c:pt idx="133">
                  <c:v>0.993548387096774</c:v>
                </c:pt>
                <c:pt idx="134">
                  <c:v>1</c:v>
                </c:pt>
                <c:pt idx="135">
                  <c:v>0.980645161290323</c:v>
                </c:pt>
                <c:pt idx="136">
                  <c:v>0.996774193548387</c:v>
                </c:pt>
                <c:pt idx="137">
                  <c:v>0.996774193548387</c:v>
                </c:pt>
                <c:pt idx="138">
                  <c:v>0.996774193548387</c:v>
                </c:pt>
                <c:pt idx="139">
                  <c:v>0.996774193548387</c:v>
                </c:pt>
                <c:pt idx="140">
                  <c:v>0.996774193548387</c:v>
                </c:pt>
                <c:pt idx="141">
                  <c:v>0.983870967741935</c:v>
                </c:pt>
                <c:pt idx="142">
                  <c:v>1</c:v>
                </c:pt>
                <c:pt idx="143">
                  <c:v>0.970967741935484</c:v>
                </c:pt>
                <c:pt idx="144">
                  <c:v>0.983870967741935</c:v>
                </c:pt>
                <c:pt idx="145">
                  <c:v>0.983870967741935</c:v>
                </c:pt>
                <c:pt idx="146">
                  <c:v>0.993548387096774</c:v>
                </c:pt>
                <c:pt idx="147">
                  <c:v>0.996774193548387</c:v>
                </c:pt>
                <c:pt idx="148">
                  <c:v>0.961290322580645</c:v>
                </c:pt>
                <c:pt idx="149">
                  <c:v>0.948387096774194</c:v>
                </c:pt>
                <c:pt idx="150">
                  <c:v>0.990322580645161</c:v>
                </c:pt>
                <c:pt idx="151">
                  <c:v>0.987096774193548</c:v>
                </c:pt>
                <c:pt idx="152">
                  <c:v>0.987096774193548</c:v>
                </c:pt>
                <c:pt idx="153">
                  <c:v>0.990322580645161</c:v>
                </c:pt>
                <c:pt idx="154">
                  <c:v>0.993548387096774</c:v>
                </c:pt>
                <c:pt idx="155">
                  <c:v>0.990322580645161</c:v>
                </c:pt>
                <c:pt idx="156">
                  <c:v>0.987096774193548</c:v>
                </c:pt>
                <c:pt idx="157">
                  <c:v>0.987096774193548</c:v>
                </c:pt>
                <c:pt idx="158">
                  <c:v>0.993548387096774</c:v>
                </c:pt>
                <c:pt idx="159">
                  <c:v>0.983870967741935</c:v>
                </c:pt>
                <c:pt idx="160">
                  <c:v>0.987096774193548</c:v>
                </c:pt>
                <c:pt idx="161">
                  <c:v>0.993548387096774</c:v>
                </c:pt>
                <c:pt idx="162">
                  <c:v>0.974193548387097</c:v>
                </c:pt>
                <c:pt idx="163">
                  <c:v>0.987096774193548</c:v>
                </c:pt>
                <c:pt idx="164">
                  <c:v>1</c:v>
                </c:pt>
                <c:pt idx="165">
                  <c:v>0.990322580645161</c:v>
                </c:pt>
                <c:pt idx="166">
                  <c:v>0.996774193548387</c:v>
                </c:pt>
                <c:pt idx="167">
                  <c:v>0.97741935483871</c:v>
                </c:pt>
                <c:pt idx="168">
                  <c:v>0.987096774193548</c:v>
                </c:pt>
                <c:pt idx="169">
                  <c:v>0.967741935483871</c:v>
                </c:pt>
                <c:pt idx="170">
                  <c:v>0.993548387096774</c:v>
                </c:pt>
              </c:numCache>
            </c:numRef>
          </c:val>
          <c:smooth val="0"/>
        </c:ser>
        <c:ser>
          <c:idx val="1"/>
          <c:order val="1"/>
          <c:tx>
            <c:strRef>
              <c:f>[梨品种检测结果.xlsx]覆盖度!$F$1</c:f>
              <c:strCache>
                <c:ptCount val="1"/>
                <c:pt idx="0">
                  <c:v>标记覆盖倍数（1×^4）</c:v>
                </c:pt>
              </c:strCache>
            </c:strRef>
          </c:tx>
          <c:spPr>
            <a:ln w="28575" cap="rnd">
              <a:solidFill>
                <a:schemeClr val="accent2"/>
              </a:solidFill>
              <a:round/>
            </a:ln>
            <a:effectLst/>
          </c:spPr>
          <c:marker>
            <c:symbol val="none"/>
          </c:marker>
          <c:dLbls>
            <c:delete val="1"/>
          </c:dLbls>
          <c:val>
            <c:numRef>
              <c:f>[梨品种检测结果.xlsx]覆盖度!$F$2:$F$172</c:f>
              <c:numCache>
                <c:formatCode>0.000_ </c:formatCode>
                <c:ptCount val="171"/>
                <c:pt idx="0">
                  <c:v>0.044633</c:v>
                </c:pt>
                <c:pt idx="1">
                  <c:v>0.044683</c:v>
                </c:pt>
                <c:pt idx="2">
                  <c:v>0.046364</c:v>
                </c:pt>
                <c:pt idx="3">
                  <c:v>0.046429</c:v>
                </c:pt>
                <c:pt idx="4">
                  <c:v>0.046722</c:v>
                </c:pt>
                <c:pt idx="5">
                  <c:v>0.04789</c:v>
                </c:pt>
                <c:pt idx="6">
                  <c:v>0.048217</c:v>
                </c:pt>
                <c:pt idx="7">
                  <c:v>0.048367</c:v>
                </c:pt>
                <c:pt idx="8">
                  <c:v>0.048595</c:v>
                </c:pt>
                <c:pt idx="9">
                  <c:v>0.052564</c:v>
                </c:pt>
                <c:pt idx="10">
                  <c:v>0.052956</c:v>
                </c:pt>
                <c:pt idx="11">
                  <c:v>0.053458</c:v>
                </c:pt>
                <c:pt idx="12">
                  <c:v>0.054053</c:v>
                </c:pt>
                <c:pt idx="13">
                  <c:v>0.061615</c:v>
                </c:pt>
                <c:pt idx="14">
                  <c:v>0.06628</c:v>
                </c:pt>
                <c:pt idx="15">
                  <c:v>0.068155</c:v>
                </c:pt>
                <c:pt idx="16">
                  <c:v>0.069033</c:v>
                </c:pt>
                <c:pt idx="17">
                  <c:v>0.070499</c:v>
                </c:pt>
                <c:pt idx="18">
                  <c:v>0.071328</c:v>
                </c:pt>
                <c:pt idx="19">
                  <c:v>0.074293</c:v>
                </c:pt>
                <c:pt idx="20">
                  <c:v>0.07608</c:v>
                </c:pt>
                <c:pt idx="21">
                  <c:v>0.079431</c:v>
                </c:pt>
                <c:pt idx="22">
                  <c:v>0.0799226923076923</c:v>
                </c:pt>
                <c:pt idx="23">
                  <c:v>0.0799226923076923</c:v>
                </c:pt>
                <c:pt idx="24">
                  <c:v>0.0799226923076923</c:v>
                </c:pt>
                <c:pt idx="25">
                  <c:v>0.080507</c:v>
                </c:pt>
                <c:pt idx="26">
                  <c:v>0.081075</c:v>
                </c:pt>
                <c:pt idx="27">
                  <c:v>0.081916</c:v>
                </c:pt>
                <c:pt idx="28">
                  <c:v>0.084274</c:v>
                </c:pt>
                <c:pt idx="29">
                  <c:v>0.085468</c:v>
                </c:pt>
                <c:pt idx="30">
                  <c:v>0.086088</c:v>
                </c:pt>
                <c:pt idx="31">
                  <c:v>0.086162</c:v>
                </c:pt>
                <c:pt idx="32">
                  <c:v>0.086658</c:v>
                </c:pt>
                <c:pt idx="33">
                  <c:v>0.086871</c:v>
                </c:pt>
                <c:pt idx="34">
                  <c:v>0.087087</c:v>
                </c:pt>
                <c:pt idx="35">
                  <c:v>0.088972</c:v>
                </c:pt>
                <c:pt idx="36">
                  <c:v>0.0905549019607843</c:v>
                </c:pt>
                <c:pt idx="37">
                  <c:v>0.0905549019607843</c:v>
                </c:pt>
                <c:pt idx="38">
                  <c:v>0.0905549019607843</c:v>
                </c:pt>
                <c:pt idx="39">
                  <c:v>0.091132</c:v>
                </c:pt>
                <c:pt idx="40">
                  <c:v>0.092093</c:v>
                </c:pt>
                <c:pt idx="41">
                  <c:v>0.095069</c:v>
                </c:pt>
                <c:pt idx="42">
                  <c:v>0.095745</c:v>
                </c:pt>
                <c:pt idx="43">
                  <c:v>0.096448</c:v>
                </c:pt>
                <c:pt idx="44">
                  <c:v>0.097355</c:v>
                </c:pt>
                <c:pt idx="45">
                  <c:v>0.098894</c:v>
                </c:pt>
                <c:pt idx="46">
                  <c:v>0.099392</c:v>
                </c:pt>
                <c:pt idx="47">
                  <c:v>0.101088</c:v>
                </c:pt>
                <c:pt idx="48">
                  <c:v>0.101281</c:v>
                </c:pt>
                <c:pt idx="49">
                  <c:v>0.101881</c:v>
                </c:pt>
                <c:pt idx="50">
                  <c:v>0.102317288801572</c:v>
                </c:pt>
                <c:pt idx="51">
                  <c:v>0.102317288801572</c:v>
                </c:pt>
                <c:pt idx="52">
                  <c:v>0.102317288801572</c:v>
                </c:pt>
                <c:pt idx="53">
                  <c:v>0.102789</c:v>
                </c:pt>
                <c:pt idx="54">
                  <c:v>0.105621</c:v>
                </c:pt>
                <c:pt idx="55">
                  <c:v>0.112149</c:v>
                </c:pt>
                <c:pt idx="56">
                  <c:v>0.112451724137931</c:v>
                </c:pt>
                <c:pt idx="57">
                  <c:v>0.112451724137931</c:v>
                </c:pt>
                <c:pt idx="58">
                  <c:v>0.112451724137931</c:v>
                </c:pt>
                <c:pt idx="59">
                  <c:v>0.115006</c:v>
                </c:pt>
                <c:pt idx="60">
                  <c:v>0.115907</c:v>
                </c:pt>
                <c:pt idx="61">
                  <c:v>0.11616</c:v>
                </c:pt>
                <c:pt idx="62">
                  <c:v>0.120334</c:v>
                </c:pt>
                <c:pt idx="63">
                  <c:v>0.120635</c:v>
                </c:pt>
                <c:pt idx="64">
                  <c:v>0.120788</c:v>
                </c:pt>
                <c:pt idx="65">
                  <c:v>0.121098</c:v>
                </c:pt>
                <c:pt idx="66">
                  <c:v>0.121879</c:v>
                </c:pt>
                <c:pt idx="67">
                  <c:v>0.122952</c:v>
                </c:pt>
                <c:pt idx="68">
                  <c:v>0.125166</c:v>
                </c:pt>
                <c:pt idx="69">
                  <c:v>0.126395437262357</c:v>
                </c:pt>
                <c:pt idx="70">
                  <c:v>0.126395437262357</c:v>
                </c:pt>
                <c:pt idx="71">
                  <c:v>0.126395437262357</c:v>
                </c:pt>
                <c:pt idx="72">
                  <c:v>0.126862</c:v>
                </c:pt>
                <c:pt idx="73">
                  <c:v>0.128153</c:v>
                </c:pt>
                <c:pt idx="74">
                  <c:v>0.128527</c:v>
                </c:pt>
                <c:pt idx="75">
                  <c:v>0.129473</c:v>
                </c:pt>
                <c:pt idx="76">
                  <c:v>0.129993</c:v>
                </c:pt>
                <c:pt idx="77">
                  <c:v>0.130164</c:v>
                </c:pt>
                <c:pt idx="78">
                  <c:v>0.130825393700787</c:v>
                </c:pt>
                <c:pt idx="79">
                  <c:v>0.130825393700787</c:v>
                </c:pt>
                <c:pt idx="80">
                  <c:v>0.130825393700787</c:v>
                </c:pt>
                <c:pt idx="81">
                  <c:v>0.131704</c:v>
                </c:pt>
                <c:pt idx="82">
                  <c:v>0.132413</c:v>
                </c:pt>
                <c:pt idx="83">
                  <c:v>0.132958</c:v>
                </c:pt>
                <c:pt idx="84">
                  <c:v>0.135236</c:v>
                </c:pt>
                <c:pt idx="85">
                  <c:v>0.138991</c:v>
                </c:pt>
                <c:pt idx="86">
                  <c:v>0.139137</c:v>
                </c:pt>
                <c:pt idx="87">
                  <c:v>0.140032</c:v>
                </c:pt>
                <c:pt idx="88">
                  <c:v>0.142709</c:v>
                </c:pt>
                <c:pt idx="89">
                  <c:v>0.142727</c:v>
                </c:pt>
                <c:pt idx="90">
                  <c:v>0.143091</c:v>
                </c:pt>
                <c:pt idx="91">
                  <c:v>0.145561</c:v>
                </c:pt>
                <c:pt idx="92">
                  <c:v>0.146142</c:v>
                </c:pt>
                <c:pt idx="93">
                  <c:v>0.146896168582375</c:v>
                </c:pt>
                <c:pt idx="94">
                  <c:v>0.146896168582375</c:v>
                </c:pt>
                <c:pt idx="95">
                  <c:v>0.146896168582375</c:v>
                </c:pt>
                <c:pt idx="96">
                  <c:v>0.14878</c:v>
                </c:pt>
                <c:pt idx="97">
                  <c:v>0.148947</c:v>
                </c:pt>
                <c:pt idx="98">
                  <c:v>0.14902</c:v>
                </c:pt>
                <c:pt idx="99">
                  <c:v>0.149197</c:v>
                </c:pt>
                <c:pt idx="100">
                  <c:v>0.153191</c:v>
                </c:pt>
                <c:pt idx="101">
                  <c:v>0.15492</c:v>
                </c:pt>
                <c:pt idx="102">
                  <c:v>0.155011</c:v>
                </c:pt>
                <c:pt idx="103">
                  <c:v>0.155765</c:v>
                </c:pt>
                <c:pt idx="104">
                  <c:v>0.156259</c:v>
                </c:pt>
                <c:pt idx="105">
                  <c:v>0.156272</c:v>
                </c:pt>
                <c:pt idx="106">
                  <c:v>0.15813</c:v>
                </c:pt>
                <c:pt idx="107">
                  <c:v>0.158271</c:v>
                </c:pt>
                <c:pt idx="108">
                  <c:v>0.158661</c:v>
                </c:pt>
                <c:pt idx="109">
                  <c:v>0.1612</c:v>
                </c:pt>
                <c:pt idx="110">
                  <c:v>0.163967</c:v>
                </c:pt>
                <c:pt idx="111">
                  <c:v>0.165949</c:v>
                </c:pt>
                <c:pt idx="112">
                  <c:v>0.166497</c:v>
                </c:pt>
                <c:pt idx="113">
                  <c:v>0.167987</c:v>
                </c:pt>
                <c:pt idx="114">
                  <c:v>0.169637</c:v>
                </c:pt>
                <c:pt idx="115">
                  <c:v>0.169766</c:v>
                </c:pt>
                <c:pt idx="116">
                  <c:v>0.170363</c:v>
                </c:pt>
                <c:pt idx="117">
                  <c:v>0.171698</c:v>
                </c:pt>
                <c:pt idx="118">
                  <c:v>0.172834</c:v>
                </c:pt>
                <c:pt idx="119">
                  <c:v>0.173304</c:v>
                </c:pt>
                <c:pt idx="120">
                  <c:v>0.17508</c:v>
                </c:pt>
                <c:pt idx="121">
                  <c:v>0.175414</c:v>
                </c:pt>
                <c:pt idx="122">
                  <c:v>0.175625</c:v>
                </c:pt>
                <c:pt idx="123">
                  <c:v>0.176617</c:v>
                </c:pt>
                <c:pt idx="124">
                  <c:v>0.179494</c:v>
                </c:pt>
                <c:pt idx="125">
                  <c:v>0.182335</c:v>
                </c:pt>
                <c:pt idx="126">
                  <c:v>0.183923</c:v>
                </c:pt>
                <c:pt idx="127">
                  <c:v>0.187784</c:v>
                </c:pt>
                <c:pt idx="128">
                  <c:v>0.190553</c:v>
                </c:pt>
                <c:pt idx="129">
                  <c:v>0.191226</c:v>
                </c:pt>
                <c:pt idx="130">
                  <c:v>0.195629</c:v>
                </c:pt>
                <c:pt idx="131">
                  <c:v>0.20065</c:v>
                </c:pt>
                <c:pt idx="132">
                  <c:v>0.204248</c:v>
                </c:pt>
                <c:pt idx="133">
                  <c:v>0.204356</c:v>
                </c:pt>
                <c:pt idx="134">
                  <c:v>0.204612</c:v>
                </c:pt>
                <c:pt idx="135">
                  <c:v>0.208918</c:v>
                </c:pt>
                <c:pt idx="136">
                  <c:v>0.209620038535645</c:v>
                </c:pt>
                <c:pt idx="137">
                  <c:v>0.209620038535645</c:v>
                </c:pt>
                <c:pt idx="138">
                  <c:v>0.209620038535645</c:v>
                </c:pt>
                <c:pt idx="139">
                  <c:v>0.211133</c:v>
                </c:pt>
                <c:pt idx="140">
                  <c:v>0.214759</c:v>
                </c:pt>
                <c:pt idx="141">
                  <c:v>0.215398</c:v>
                </c:pt>
                <c:pt idx="142">
                  <c:v>0.217044</c:v>
                </c:pt>
                <c:pt idx="143">
                  <c:v>0.218986</c:v>
                </c:pt>
                <c:pt idx="144">
                  <c:v>0.225629</c:v>
                </c:pt>
                <c:pt idx="145">
                  <c:v>0.225787</c:v>
                </c:pt>
                <c:pt idx="146">
                  <c:v>0.230521</c:v>
                </c:pt>
                <c:pt idx="147">
                  <c:v>0.241903</c:v>
                </c:pt>
                <c:pt idx="148">
                  <c:v>0.243035</c:v>
                </c:pt>
                <c:pt idx="149">
                  <c:v>0.243821</c:v>
                </c:pt>
                <c:pt idx="150">
                  <c:v>0.251824</c:v>
                </c:pt>
                <c:pt idx="151">
                  <c:v>0.257526</c:v>
                </c:pt>
                <c:pt idx="152">
                  <c:v>0.259646</c:v>
                </c:pt>
                <c:pt idx="153">
                  <c:v>0.260681</c:v>
                </c:pt>
                <c:pt idx="154">
                  <c:v>0.267536</c:v>
                </c:pt>
                <c:pt idx="155">
                  <c:v>0.286045</c:v>
                </c:pt>
                <c:pt idx="156">
                  <c:v>0.289485</c:v>
                </c:pt>
                <c:pt idx="157">
                  <c:v>0.305932</c:v>
                </c:pt>
                <c:pt idx="158">
                  <c:v>0.316643</c:v>
                </c:pt>
                <c:pt idx="159">
                  <c:v>0.322309</c:v>
                </c:pt>
                <c:pt idx="160">
                  <c:v>0.3234</c:v>
                </c:pt>
                <c:pt idx="161">
                  <c:v>0.331735</c:v>
                </c:pt>
                <c:pt idx="162">
                  <c:v>0.334371</c:v>
                </c:pt>
                <c:pt idx="163">
                  <c:v>0.334741</c:v>
                </c:pt>
                <c:pt idx="164">
                  <c:v>0.334784</c:v>
                </c:pt>
                <c:pt idx="165">
                  <c:v>0.335868</c:v>
                </c:pt>
                <c:pt idx="166">
                  <c:v>0.353531</c:v>
                </c:pt>
                <c:pt idx="167">
                  <c:v>0.375076</c:v>
                </c:pt>
                <c:pt idx="168">
                  <c:v>0.383328</c:v>
                </c:pt>
                <c:pt idx="169">
                  <c:v>0.429728</c:v>
                </c:pt>
                <c:pt idx="170">
                  <c:v>0.536405</c:v>
                </c:pt>
              </c:numCache>
            </c:numRef>
          </c:val>
          <c:smooth val="0"/>
        </c:ser>
        <c:dLbls>
          <c:showLegendKey val="0"/>
          <c:showVal val="0"/>
          <c:showCatName val="0"/>
          <c:showSerName val="0"/>
          <c:showPercent val="0"/>
          <c:showBubbleSize val="0"/>
        </c:dLbls>
        <c:marker val="0"/>
        <c:smooth val="0"/>
        <c:axId val="645179930"/>
        <c:axId val="191759651"/>
      </c:lineChart>
      <c:catAx>
        <c:axId val="64517993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样品</a:t>
                </a:r>
              </a:p>
            </c:rich>
          </c:tx>
          <c:layout/>
          <c:overlay val="0"/>
          <c:spPr>
            <a:noFill/>
            <a:ln>
              <a:noFill/>
            </a:ln>
            <a:effectLst/>
          </c:spPr>
        </c:title>
        <c:majorTickMark val="out"/>
        <c:minorTickMark val="none"/>
        <c:tickLblPos val="nextTo"/>
        <c:spPr>
          <a:noFill/>
          <a:ln w="9525" cap="flat" cmpd="sng" algn="ctr">
            <a:solidFill>
              <a:schemeClr val="tx1">
                <a:lumMod val="95000"/>
                <a:lumOff val="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759651"/>
        <c:crosses val="autoZero"/>
        <c:auto val="1"/>
        <c:lblAlgn val="ctr"/>
        <c:lblOffset val="100"/>
        <c:noMultiLvlLbl val="0"/>
      </c:catAx>
      <c:valAx>
        <c:axId val="191759651"/>
        <c:scaling>
          <c:orientation val="minMax"/>
          <c:max val="1"/>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检出率</a:t>
                </a:r>
                <a:r>
                  <a:rPr lang="en-US" altLang="zh-CN"/>
                  <a:t>/</a:t>
                </a:r>
                <a:r>
                  <a:rPr altLang="en-US"/>
                  <a:t>标记覆盖倍数</a:t>
                </a:r>
                <a:endParaRPr lang="en-US" altLang="zh-CN"/>
              </a:p>
            </c:rich>
          </c:tx>
          <c:layout>
            <c:manualLayout>
              <c:xMode val="edge"/>
              <c:yMode val="edge"/>
              <c:x val="0.0261654934254217"/>
              <c:y val="0.189906928645295"/>
            </c:manualLayout>
          </c:layout>
          <c:overlay val="0"/>
          <c:spPr>
            <a:noFill/>
            <a:ln>
              <a:noFill/>
            </a:ln>
            <a:effectLst/>
          </c:spPr>
        </c:title>
        <c:numFmt formatCode="0.00%" sourceLinked="1"/>
        <c:majorTickMark val="out"/>
        <c:minorTickMark val="none"/>
        <c:tickLblPos val="nextTo"/>
        <c:spPr>
          <a:noFill/>
          <a:ln>
            <a:solidFill>
              <a:schemeClr val="tx1">
                <a:lumMod val="95000"/>
                <a:lumOff val="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1799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6451727-bb0c-4adb-9205-994c108db14c}"/>
      </c:ext>
    </c:extLst>
  </c:chart>
  <c:spPr>
    <a:solidFill>
      <a:schemeClr val="bg1"/>
    </a:solidFill>
    <a:ln w="9525" cap="flat" cmpd="sng" algn="ctr">
      <a:solidFill>
        <a:schemeClr val="bg1">
          <a:lumMod val="6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梨</a:t>
            </a:r>
            <a:r>
              <a:rPr lang="en-US" altLang="zh-CN"/>
              <a:t>MNP</a:t>
            </a:r>
            <a:r>
              <a:rPr altLang="en-US"/>
              <a:t>标记等位基因型数量分布</a:t>
            </a:r>
            <a:endParaRPr lang="en-US" altLang="zh-CN"/>
          </a:p>
        </c:rich>
      </c:tx>
      <c:layout>
        <c:manualLayout>
          <c:xMode val="edge"/>
          <c:yMode val="edge"/>
          <c:x val="0.297105263157895"/>
          <c:y val="0.03958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[梨品种检测结果.xlsx]Sheet7!$D$1:$D$309</c:f>
              <c:numCache>
                <c:formatCode>General</c:formatCode>
                <c:ptCount val="309"/>
                <c:pt idx="0">
                  <c:v>3</c:v>
                </c:pt>
                <c:pt idx="1">
                  <c:v>3</c:v>
                </c:pt>
                <c:pt idx="2">
                  <c:v>3</c:v>
                </c:pt>
                <c:pt idx="3">
                  <c:v>6</c:v>
                </c:pt>
                <c:pt idx="4">
                  <c:v>7</c:v>
                </c:pt>
                <c:pt idx="5">
                  <c:v>7</c:v>
                </c:pt>
                <c:pt idx="6">
                  <c:v>7</c:v>
                </c:pt>
                <c:pt idx="7">
                  <c:v>8</c:v>
                </c:pt>
                <c:pt idx="8">
                  <c:v>8</c:v>
                </c:pt>
                <c:pt idx="9">
                  <c:v>8</c:v>
                </c:pt>
                <c:pt idx="10">
                  <c:v>8</c:v>
                </c:pt>
                <c:pt idx="11">
                  <c:v>8</c:v>
                </c:pt>
                <c:pt idx="12">
                  <c:v>8</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11</c:v>
                </c:pt>
                <c:pt idx="46">
                  <c:v>11</c:v>
                </c:pt>
                <c:pt idx="47">
                  <c:v>11</c:v>
                </c:pt>
                <c:pt idx="48">
                  <c:v>11</c:v>
                </c:pt>
                <c:pt idx="49">
                  <c:v>11</c:v>
                </c:pt>
                <c:pt idx="50">
                  <c:v>11</c:v>
                </c:pt>
                <c:pt idx="51">
                  <c:v>11</c:v>
                </c:pt>
                <c:pt idx="52">
                  <c:v>11</c:v>
                </c:pt>
                <c:pt idx="53">
                  <c:v>11</c:v>
                </c:pt>
                <c:pt idx="54">
                  <c:v>11</c:v>
                </c:pt>
                <c:pt idx="55">
                  <c:v>11</c:v>
                </c:pt>
                <c:pt idx="56">
                  <c:v>11</c:v>
                </c:pt>
                <c:pt idx="57">
                  <c:v>11</c:v>
                </c:pt>
                <c:pt idx="58">
                  <c:v>11</c:v>
                </c:pt>
                <c:pt idx="59">
                  <c:v>11</c:v>
                </c:pt>
                <c:pt idx="60">
                  <c:v>11</c:v>
                </c:pt>
                <c:pt idx="61">
                  <c:v>11</c:v>
                </c:pt>
                <c:pt idx="62">
                  <c:v>11</c:v>
                </c:pt>
                <c:pt idx="63">
                  <c:v>11</c:v>
                </c:pt>
                <c:pt idx="64">
                  <c:v>11</c:v>
                </c:pt>
                <c:pt idx="65">
                  <c:v>11</c:v>
                </c:pt>
                <c:pt idx="66">
                  <c:v>11</c:v>
                </c:pt>
                <c:pt idx="67">
                  <c:v>11</c:v>
                </c:pt>
                <c:pt idx="68">
                  <c:v>11</c:v>
                </c:pt>
                <c:pt idx="69">
                  <c:v>11</c:v>
                </c:pt>
                <c:pt idx="70">
                  <c:v>12</c:v>
                </c:pt>
                <c:pt idx="71">
                  <c:v>12</c:v>
                </c:pt>
                <c:pt idx="72">
                  <c:v>12</c:v>
                </c:pt>
                <c:pt idx="73">
                  <c:v>12</c:v>
                </c:pt>
                <c:pt idx="74">
                  <c:v>12</c:v>
                </c:pt>
                <c:pt idx="75">
                  <c:v>12</c:v>
                </c:pt>
                <c:pt idx="76">
                  <c:v>12</c:v>
                </c:pt>
                <c:pt idx="77">
                  <c:v>12</c:v>
                </c:pt>
                <c:pt idx="78">
                  <c:v>12</c:v>
                </c:pt>
                <c:pt idx="79">
                  <c:v>12</c:v>
                </c:pt>
                <c:pt idx="80">
                  <c:v>12</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12</c:v>
                </c:pt>
                <c:pt idx="96">
                  <c:v>12</c:v>
                </c:pt>
                <c:pt idx="97">
                  <c:v>12</c:v>
                </c:pt>
                <c:pt idx="98">
                  <c:v>13</c:v>
                </c:pt>
                <c:pt idx="99">
                  <c:v>13</c:v>
                </c:pt>
                <c:pt idx="100">
                  <c:v>13</c:v>
                </c:pt>
                <c:pt idx="101">
                  <c:v>13</c:v>
                </c:pt>
                <c:pt idx="102">
                  <c:v>13</c:v>
                </c:pt>
                <c:pt idx="103">
                  <c:v>13</c:v>
                </c:pt>
                <c:pt idx="104">
                  <c:v>13</c:v>
                </c:pt>
                <c:pt idx="105">
                  <c:v>13</c:v>
                </c:pt>
                <c:pt idx="106">
                  <c:v>13</c:v>
                </c:pt>
                <c:pt idx="107">
                  <c:v>13</c:v>
                </c:pt>
                <c:pt idx="108">
                  <c:v>13</c:v>
                </c:pt>
                <c:pt idx="109">
                  <c:v>13</c:v>
                </c:pt>
                <c:pt idx="110">
                  <c:v>13</c:v>
                </c:pt>
                <c:pt idx="111">
                  <c:v>13</c:v>
                </c:pt>
                <c:pt idx="112">
                  <c:v>13</c:v>
                </c:pt>
                <c:pt idx="113">
                  <c:v>13</c:v>
                </c:pt>
                <c:pt idx="114">
                  <c:v>13</c:v>
                </c:pt>
                <c:pt idx="115">
                  <c:v>13</c:v>
                </c:pt>
                <c:pt idx="116">
                  <c:v>13</c:v>
                </c:pt>
                <c:pt idx="117">
                  <c:v>14</c:v>
                </c:pt>
                <c:pt idx="118">
                  <c:v>14</c:v>
                </c:pt>
                <c:pt idx="119">
                  <c:v>14</c:v>
                </c:pt>
                <c:pt idx="120">
                  <c:v>14</c:v>
                </c:pt>
                <c:pt idx="121">
                  <c:v>14</c:v>
                </c:pt>
                <c:pt idx="122">
                  <c:v>14</c:v>
                </c:pt>
                <c:pt idx="123">
                  <c:v>14</c:v>
                </c:pt>
                <c:pt idx="124">
                  <c:v>14</c:v>
                </c:pt>
                <c:pt idx="125">
                  <c:v>14</c:v>
                </c:pt>
                <c:pt idx="126">
                  <c:v>14</c:v>
                </c:pt>
                <c:pt idx="127">
                  <c:v>14</c:v>
                </c:pt>
                <c:pt idx="128">
                  <c:v>14</c:v>
                </c:pt>
                <c:pt idx="129">
                  <c:v>14</c:v>
                </c:pt>
                <c:pt idx="130">
                  <c:v>14</c:v>
                </c:pt>
                <c:pt idx="131">
                  <c:v>14</c:v>
                </c:pt>
                <c:pt idx="132">
                  <c:v>14</c:v>
                </c:pt>
                <c:pt idx="133">
                  <c:v>14</c:v>
                </c:pt>
                <c:pt idx="134">
                  <c:v>14</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16</c:v>
                </c:pt>
                <c:pt idx="157">
                  <c:v>16</c:v>
                </c:pt>
                <c:pt idx="158">
                  <c:v>16</c:v>
                </c:pt>
                <c:pt idx="159">
                  <c:v>16</c:v>
                </c:pt>
                <c:pt idx="160">
                  <c:v>16</c:v>
                </c:pt>
                <c:pt idx="161">
                  <c:v>16</c:v>
                </c:pt>
                <c:pt idx="162">
                  <c:v>16</c:v>
                </c:pt>
                <c:pt idx="163">
                  <c:v>16</c:v>
                </c:pt>
                <c:pt idx="164">
                  <c:v>16</c:v>
                </c:pt>
                <c:pt idx="165">
                  <c:v>16</c:v>
                </c:pt>
                <c:pt idx="166">
                  <c:v>16</c:v>
                </c:pt>
                <c:pt idx="167">
                  <c:v>16</c:v>
                </c:pt>
                <c:pt idx="168">
                  <c:v>16</c:v>
                </c:pt>
                <c:pt idx="169">
                  <c:v>16</c:v>
                </c:pt>
                <c:pt idx="170">
                  <c:v>17</c:v>
                </c:pt>
                <c:pt idx="171">
                  <c:v>17</c:v>
                </c:pt>
                <c:pt idx="172">
                  <c:v>17</c:v>
                </c:pt>
                <c:pt idx="173">
                  <c:v>17</c:v>
                </c:pt>
                <c:pt idx="174">
                  <c:v>17</c:v>
                </c:pt>
                <c:pt idx="175">
                  <c:v>17</c:v>
                </c:pt>
                <c:pt idx="176">
                  <c:v>17</c:v>
                </c:pt>
                <c:pt idx="177">
                  <c:v>17</c:v>
                </c:pt>
                <c:pt idx="178">
                  <c:v>17</c:v>
                </c:pt>
                <c:pt idx="179">
                  <c:v>17</c:v>
                </c:pt>
                <c:pt idx="180">
                  <c:v>17</c:v>
                </c:pt>
                <c:pt idx="181">
                  <c:v>17</c:v>
                </c:pt>
                <c:pt idx="182">
                  <c:v>18</c:v>
                </c:pt>
                <c:pt idx="183">
                  <c:v>18</c:v>
                </c:pt>
                <c:pt idx="184">
                  <c:v>18</c:v>
                </c:pt>
                <c:pt idx="185">
                  <c:v>18</c:v>
                </c:pt>
                <c:pt idx="186">
                  <c:v>18</c:v>
                </c:pt>
                <c:pt idx="187">
                  <c:v>18</c:v>
                </c:pt>
                <c:pt idx="188">
                  <c:v>18</c:v>
                </c:pt>
                <c:pt idx="189">
                  <c:v>18</c:v>
                </c:pt>
                <c:pt idx="190">
                  <c:v>18</c:v>
                </c:pt>
                <c:pt idx="191">
                  <c:v>18</c:v>
                </c:pt>
                <c:pt idx="192">
                  <c:v>18</c:v>
                </c:pt>
                <c:pt idx="193">
                  <c:v>18</c:v>
                </c:pt>
                <c:pt idx="194">
                  <c:v>19</c:v>
                </c:pt>
                <c:pt idx="195">
                  <c:v>19</c:v>
                </c:pt>
                <c:pt idx="196">
                  <c:v>19</c:v>
                </c:pt>
                <c:pt idx="197">
                  <c:v>19</c:v>
                </c:pt>
                <c:pt idx="198">
                  <c:v>19</c:v>
                </c:pt>
                <c:pt idx="199">
                  <c:v>19</c:v>
                </c:pt>
                <c:pt idx="200">
                  <c:v>19</c:v>
                </c:pt>
                <c:pt idx="201">
                  <c:v>19</c:v>
                </c:pt>
                <c:pt idx="202">
                  <c:v>19</c:v>
                </c:pt>
                <c:pt idx="203">
                  <c:v>19</c:v>
                </c:pt>
                <c:pt idx="204">
                  <c:v>19</c:v>
                </c:pt>
                <c:pt idx="205">
                  <c:v>19</c:v>
                </c:pt>
                <c:pt idx="206">
                  <c:v>19</c:v>
                </c:pt>
                <c:pt idx="207">
                  <c:v>19</c:v>
                </c:pt>
                <c:pt idx="208">
                  <c:v>19</c:v>
                </c:pt>
                <c:pt idx="209">
                  <c:v>19</c:v>
                </c:pt>
                <c:pt idx="210">
                  <c:v>19</c:v>
                </c:pt>
                <c:pt idx="211">
                  <c:v>19</c:v>
                </c:pt>
                <c:pt idx="212">
                  <c:v>19</c:v>
                </c:pt>
                <c:pt idx="213">
                  <c:v>20</c:v>
                </c:pt>
                <c:pt idx="214">
                  <c:v>20</c:v>
                </c:pt>
                <c:pt idx="215">
                  <c:v>20</c:v>
                </c:pt>
                <c:pt idx="216">
                  <c:v>20</c:v>
                </c:pt>
                <c:pt idx="217">
                  <c:v>20</c:v>
                </c:pt>
                <c:pt idx="218">
                  <c:v>20</c:v>
                </c:pt>
                <c:pt idx="219">
                  <c:v>20</c:v>
                </c:pt>
                <c:pt idx="220">
                  <c:v>20</c:v>
                </c:pt>
                <c:pt idx="221">
                  <c:v>20</c:v>
                </c:pt>
                <c:pt idx="222">
                  <c:v>20</c:v>
                </c:pt>
                <c:pt idx="223">
                  <c:v>20</c:v>
                </c:pt>
                <c:pt idx="224">
                  <c:v>21</c:v>
                </c:pt>
                <c:pt idx="225">
                  <c:v>21</c:v>
                </c:pt>
                <c:pt idx="226">
                  <c:v>21</c:v>
                </c:pt>
                <c:pt idx="227">
                  <c:v>21</c:v>
                </c:pt>
                <c:pt idx="228">
                  <c:v>21</c:v>
                </c:pt>
                <c:pt idx="229">
                  <c:v>21</c:v>
                </c:pt>
                <c:pt idx="230">
                  <c:v>21</c:v>
                </c:pt>
                <c:pt idx="231">
                  <c:v>21</c:v>
                </c:pt>
                <c:pt idx="232">
                  <c:v>21</c:v>
                </c:pt>
                <c:pt idx="233">
                  <c:v>21</c:v>
                </c:pt>
                <c:pt idx="234">
                  <c:v>21</c:v>
                </c:pt>
                <c:pt idx="235">
                  <c:v>21</c:v>
                </c:pt>
                <c:pt idx="236">
                  <c:v>21</c:v>
                </c:pt>
                <c:pt idx="237">
                  <c:v>22</c:v>
                </c:pt>
                <c:pt idx="238">
                  <c:v>22</c:v>
                </c:pt>
                <c:pt idx="239">
                  <c:v>22</c:v>
                </c:pt>
                <c:pt idx="240">
                  <c:v>22</c:v>
                </c:pt>
                <c:pt idx="241">
                  <c:v>22</c:v>
                </c:pt>
                <c:pt idx="242">
                  <c:v>22</c:v>
                </c:pt>
                <c:pt idx="243">
                  <c:v>22</c:v>
                </c:pt>
                <c:pt idx="244">
                  <c:v>22</c:v>
                </c:pt>
                <c:pt idx="245">
                  <c:v>22</c:v>
                </c:pt>
                <c:pt idx="246">
                  <c:v>22</c:v>
                </c:pt>
                <c:pt idx="247">
                  <c:v>23</c:v>
                </c:pt>
                <c:pt idx="248">
                  <c:v>23</c:v>
                </c:pt>
                <c:pt idx="249">
                  <c:v>23</c:v>
                </c:pt>
                <c:pt idx="250">
                  <c:v>23</c:v>
                </c:pt>
                <c:pt idx="251">
                  <c:v>23</c:v>
                </c:pt>
                <c:pt idx="252">
                  <c:v>24</c:v>
                </c:pt>
                <c:pt idx="253">
                  <c:v>24</c:v>
                </c:pt>
                <c:pt idx="254">
                  <c:v>24</c:v>
                </c:pt>
                <c:pt idx="255">
                  <c:v>24</c:v>
                </c:pt>
                <c:pt idx="256">
                  <c:v>24</c:v>
                </c:pt>
                <c:pt idx="257">
                  <c:v>25</c:v>
                </c:pt>
                <c:pt idx="258">
                  <c:v>25</c:v>
                </c:pt>
                <c:pt idx="259">
                  <c:v>25</c:v>
                </c:pt>
                <c:pt idx="260">
                  <c:v>25</c:v>
                </c:pt>
                <c:pt idx="261">
                  <c:v>25</c:v>
                </c:pt>
                <c:pt idx="262">
                  <c:v>25</c:v>
                </c:pt>
                <c:pt idx="263">
                  <c:v>26</c:v>
                </c:pt>
                <c:pt idx="264">
                  <c:v>26</c:v>
                </c:pt>
                <c:pt idx="265">
                  <c:v>26</c:v>
                </c:pt>
                <c:pt idx="266">
                  <c:v>26</c:v>
                </c:pt>
                <c:pt idx="267">
                  <c:v>26</c:v>
                </c:pt>
                <c:pt idx="268">
                  <c:v>26</c:v>
                </c:pt>
                <c:pt idx="269">
                  <c:v>27</c:v>
                </c:pt>
                <c:pt idx="270">
                  <c:v>27</c:v>
                </c:pt>
                <c:pt idx="271">
                  <c:v>27</c:v>
                </c:pt>
                <c:pt idx="272">
                  <c:v>27</c:v>
                </c:pt>
                <c:pt idx="273">
                  <c:v>28</c:v>
                </c:pt>
                <c:pt idx="274">
                  <c:v>28</c:v>
                </c:pt>
                <c:pt idx="275">
                  <c:v>29</c:v>
                </c:pt>
                <c:pt idx="276">
                  <c:v>29</c:v>
                </c:pt>
                <c:pt idx="277">
                  <c:v>29</c:v>
                </c:pt>
                <c:pt idx="278">
                  <c:v>29</c:v>
                </c:pt>
                <c:pt idx="279">
                  <c:v>29</c:v>
                </c:pt>
                <c:pt idx="280">
                  <c:v>29</c:v>
                </c:pt>
                <c:pt idx="281">
                  <c:v>30</c:v>
                </c:pt>
                <c:pt idx="282">
                  <c:v>30</c:v>
                </c:pt>
                <c:pt idx="283">
                  <c:v>30</c:v>
                </c:pt>
                <c:pt idx="284">
                  <c:v>30</c:v>
                </c:pt>
                <c:pt idx="285">
                  <c:v>30</c:v>
                </c:pt>
                <c:pt idx="286">
                  <c:v>31</c:v>
                </c:pt>
                <c:pt idx="287">
                  <c:v>31</c:v>
                </c:pt>
                <c:pt idx="288">
                  <c:v>31</c:v>
                </c:pt>
                <c:pt idx="289">
                  <c:v>32</c:v>
                </c:pt>
                <c:pt idx="290">
                  <c:v>33</c:v>
                </c:pt>
                <c:pt idx="291">
                  <c:v>33</c:v>
                </c:pt>
                <c:pt idx="292">
                  <c:v>33</c:v>
                </c:pt>
                <c:pt idx="293">
                  <c:v>36</c:v>
                </c:pt>
                <c:pt idx="294">
                  <c:v>36</c:v>
                </c:pt>
                <c:pt idx="295">
                  <c:v>37</c:v>
                </c:pt>
                <c:pt idx="296">
                  <c:v>40</c:v>
                </c:pt>
                <c:pt idx="297">
                  <c:v>41</c:v>
                </c:pt>
                <c:pt idx="298">
                  <c:v>43</c:v>
                </c:pt>
                <c:pt idx="299">
                  <c:v>43</c:v>
                </c:pt>
                <c:pt idx="300">
                  <c:v>47</c:v>
                </c:pt>
                <c:pt idx="301">
                  <c:v>51</c:v>
                </c:pt>
                <c:pt idx="302">
                  <c:v>54</c:v>
                </c:pt>
                <c:pt idx="303">
                  <c:v>60</c:v>
                </c:pt>
                <c:pt idx="304">
                  <c:v>61</c:v>
                </c:pt>
                <c:pt idx="305">
                  <c:v>69</c:v>
                </c:pt>
                <c:pt idx="306">
                  <c:v>70</c:v>
                </c:pt>
                <c:pt idx="307">
                  <c:v>105</c:v>
                </c:pt>
                <c:pt idx="308">
                  <c:v>106</c:v>
                </c:pt>
              </c:numCache>
            </c:numRef>
          </c:val>
        </c:ser>
        <c:dLbls>
          <c:showLegendKey val="0"/>
          <c:showVal val="0"/>
          <c:showCatName val="0"/>
          <c:showSerName val="0"/>
          <c:showPercent val="0"/>
          <c:showBubbleSize val="0"/>
        </c:dLbls>
        <c:gapWidth val="246"/>
        <c:overlap val="-28"/>
        <c:axId val="947407444"/>
        <c:axId val="710196795"/>
      </c:barChart>
      <c:catAx>
        <c:axId val="9474074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标记</a:t>
                </a:r>
              </a:p>
            </c:rich>
          </c:tx>
          <c:layout/>
          <c:overlay val="0"/>
          <c:spPr>
            <a:noFill/>
            <a:ln>
              <a:noFill/>
            </a:ln>
            <a:effectLst/>
          </c:spPr>
        </c:title>
        <c:majorTickMark val="out"/>
        <c:minorTickMark val="none"/>
        <c:tickLblPos val="nextTo"/>
        <c:spPr>
          <a:noFill/>
          <a:ln w="9525" cap="flat" cmpd="sng" algn="ctr">
            <a:solidFill>
              <a:schemeClr val="tx1">
                <a:lumMod val="95000"/>
                <a:lumOff val="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196795"/>
        <c:crosses val="autoZero"/>
        <c:auto val="1"/>
        <c:lblAlgn val="ctr"/>
        <c:lblOffset val="100"/>
        <c:noMultiLvlLbl val="0"/>
      </c:catAx>
      <c:valAx>
        <c:axId val="71019679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等位基因型数量</a:t>
                </a:r>
              </a:p>
            </c:rich>
          </c:tx>
          <c:layout/>
          <c:overlay val="0"/>
          <c:spPr>
            <a:noFill/>
            <a:ln>
              <a:noFill/>
            </a:ln>
            <a:effectLst/>
          </c:spPr>
        </c:title>
        <c:numFmt formatCode="General" sourceLinked="1"/>
        <c:majorTickMark val="out"/>
        <c:minorTickMark val="none"/>
        <c:tickLblPos val="nextTo"/>
        <c:spPr>
          <a:noFill/>
          <a:ln>
            <a:solidFill>
              <a:schemeClr val="tx1">
                <a:lumMod val="95000"/>
                <a:lumOff val="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407444"/>
        <c:crosses val="autoZero"/>
        <c:crossBetween val="between"/>
      </c:valAx>
      <c:spPr>
        <a:noFill/>
        <a:ln>
          <a:noFill/>
        </a:ln>
        <a:effectLst/>
      </c:spPr>
    </c:plotArea>
    <c:plotVisOnly val="1"/>
    <c:dispBlanksAs val="gap"/>
    <c:showDLblsOverMax val="0"/>
    <c:extLst>
      <c:ext uri="{0b15fc19-7d7d-44ad-8c2d-2c3a37ce22c3}">
        <chartProps xmlns="https://web.wps.cn/et/2018/main" chartId="{dc4e6dc4-6581-4a7f-b575-5577edd4aba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i="0" u="none" strike="noStrike" baseline="0">
                <a:effectLst/>
              </a:rPr>
              <a:t>梨</a:t>
            </a:r>
            <a:r>
              <a:rPr lang="zh-CN" altLang="zh-CN" sz="1400" b="0" i="0" u="none" strike="noStrike" baseline="0">
                <a:effectLst/>
              </a:rPr>
              <a:t>样品间</a:t>
            </a:r>
            <a:r>
              <a:rPr lang="en-US" altLang="zh-CN" sz="1400" b="0" i="0" u="none" strike="noStrike" baseline="0">
                <a:effectLst/>
              </a:rPr>
              <a:t>MNP</a:t>
            </a:r>
            <a:r>
              <a:rPr altLang="en-US" sz="1400" b="0" i="0" u="none" strike="noStrike" baseline="0">
                <a:effectLst/>
              </a:rPr>
              <a:t>标记</a:t>
            </a:r>
            <a:r>
              <a:rPr lang="zh-CN" altLang="zh-CN" sz="1400" b="0" i="0" u="none" strike="noStrike" baseline="0">
                <a:effectLst/>
              </a:rPr>
              <a:t>差异分布</a:t>
            </a:r>
            <a:endParaRPr lang="en-US" altLang="en-US" sz="1400" b="0">
              <a:solidFill>
                <a:srgbClr val="00B050"/>
              </a:solidFill>
            </a:endParaRPr>
          </a:p>
        </c:rich>
      </c:tx>
      <c:layout>
        <c:manualLayout>
          <c:xMode val="edge"/>
          <c:yMode val="edge"/>
          <c:x val="0.31035061343687"/>
          <c:y val="0.116697655200909"/>
        </c:manualLayout>
      </c:layout>
      <c:overlay val="0"/>
    </c:title>
    <c:autoTitleDeleted val="0"/>
    <c:plotArea>
      <c:layout/>
      <c:barChart>
        <c:barDir val="col"/>
        <c:grouping val="clustered"/>
        <c:varyColors val="0"/>
        <c:ser>
          <c:idx val="0"/>
          <c:order val="0"/>
          <c:invertIfNegative val="0"/>
          <c:dLbls>
            <c:delete val="1"/>
          </c:dLbls>
          <c:cat>
            <c:numRef>
              <c:f>'[梨-EDV-标准数据20241016.xlsx]表3 样品间差异分布'!$D$6:$D$106</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'[梨-EDV-标准数据20241016.xlsx]表3 样品间差异分布'!$E$6:$E$106</c:f>
              <c:numCache>
                <c:formatCode>General</c:formatCode>
                <c:ptCount val="101"/>
                <c:pt idx="0">
                  <c:v>5</c:v>
                </c:pt>
                <c:pt idx="1">
                  <c:v>6</c:v>
                </c:pt>
                <c:pt idx="2">
                  <c:v>2</c:v>
                </c:pt>
                <c:pt idx="3">
                  <c:v>0</c:v>
                </c:pt>
                <c:pt idx="4">
                  <c:v>0</c:v>
                </c:pt>
                <c:pt idx="5">
                  <c:v>1</c:v>
                </c:pt>
                <c:pt idx="6">
                  <c:v>0</c:v>
                </c:pt>
                <c:pt idx="7">
                  <c:v>0</c:v>
                </c:pt>
                <c:pt idx="8">
                  <c:v>0</c:v>
                </c:pt>
                <c:pt idx="9">
                  <c:v>0</c:v>
                </c:pt>
                <c:pt idx="10">
                  <c:v>0</c:v>
                </c:pt>
                <c:pt idx="11">
                  <c:v>1</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1</c:v>
                </c:pt>
                <c:pt idx="42">
                  <c:v>0</c:v>
                </c:pt>
                <c:pt idx="43">
                  <c:v>0</c:v>
                </c:pt>
                <c:pt idx="44">
                  <c:v>1</c:v>
                </c:pt>
                <c:pt idx="45">
                  <c:v>1</c:v>
                </c:pt>
                <c:pt idx="46">
                  <c:v>0</c:v>
                </c:pt>
                <c:pt idx="47">
                  <c:v>0</c:v>
                </c:pt>
                <c:pt idx="48">
                  <c:v>0</c:v>
                </c:pt>
                <c:pt idx="49">
                  <c:v>0</c:v>
                </c:pt>
                <c:pt idx="50">
                  <c:v>1</c:v>
                </c:pt>
                <c:pt idx="51">
                  <c:v>0</c:v>
                </c:pt>
                <c:pt idx="52">
                  <c:v>0</c:v>
                </c:pt>
                <c:pt idx="53">
                  <c:v>0</c:v>
                </c:pt>
                <c:pt idx="54">
                  <c:v>1</c:v>
                </c:pt>
                <c:pt idx="55">
                  <c:v>0</c:v>
                </c:pt>
                <c:pt idx="56">
                  <c:v>0</c:v>
                </c:pt>
                <c:pt idx="57">
                  <c:v>4</c:v>
                </c:pt>
                <c:pt idx="58">
                  <c:v>2</c:v>
                </c:pt>
                <c:pt idx="59">
                  <c:v>1</c:v>
                </c:pt>
                <c:pt idx="60">
                  <c:v>1</c:v>
                </c:pt>
                <c:pt idx="61">
                  <c:v>4</c:v>
                </c:pt>
                <c:pt idx="62">
                  <c:v>4</c:v>
                </c:pt>
                <c:pt idx="63">
                  <c:v>4</c:v>
                </c:pt>
                <c:pt idx="64">
                  <c:v>4</c:v>
                </c:pt>
                <c:pt idx="65">
                  <c:v>5</c:v>
                </c:pt>
                <c:pt idx="66">
                  <c:v>2</c:v>
                </c:pt>
                <c:pt idx="67">
                  <c:v>5</c:v>
                </c:pt>
                <c:pt idx="68">
                  <c:v>4</c:v>
                </c:pt>
                <c:pt idx="69">
                  <c:v>2</c:v>
                </c:pt>
                <c:pt idx="70">
                  <c:v>10</c:v>
                </c:pt>
                <c:pt idx="71">
                  <c:v>8</c:v>
                </c:pt>
                <c:pt idx="72">
                  <c:v>5</c:v>
                </c:pt>
                <c:pt idx="73">
                  <c:v>11</c:v>
                </c:pt>
                <c:pt idx="74">
                  <c:v>15</c:v>
                </c:pt>
                <c:pt idx="75">
                  <c:v>9</c:v>
                </c:pt>
                <c:pt idx="76">
                  <c:v>16</c:v>
                </c:pt>
                <c:pt idx="77">
                  <c:v>24</c:v>
                </c:pt>
                <c:pt idx="78">
                  <c:v>24</c:v>
                </c:pt>
                <c:pt idx="79">
                  <c:v>19</c:v>
                </c:pt>
                <c:pt idx="80">
                  <c:v>34</c:v>
                </c:pt>
                <c:pt idx="81">
                  <c:v>24</c:v>
                </c:pt>
                <c:pt idx="82">
                  <c:v>50</c:v>
                </c:pt>
                <c:pt idx="83">
                  <c:v>55</c:v>
                </c:pt>
                <c:pt idx="84">
                  <c:v>68</c:v>
                </c:pt>
                <c:pt idx="85">
                  <c:v>97</c:v>
                </c:pt>
                <c:pt idx="86">
                  <c:v>91</c:v>
                </c:pt>
                <c:pt idx="87">
                  <c:v>104</c:v>
                </c:pt>
                <c:pt idx="88">
                  <c:v>91</c:v>
                </c:pt>
                <c:pt idx="89">
                  <c:v>125</c:v>
                </c:pt>
                <c:pt idx="90">
                  <c:v>105</c:v>
                </c:pt>
                <c:pt idx="91">
                  <c:v>122</c:v>
                </c:pt>
                <c:pt idx="92">
                  <c:v>146</c:v>
                </c:pt>
                <c:pt idx="93">
                  <c:v>173</c:v>
                </c:pt>
                <c:pt idx="94">
                  <c:v>161</c:v>
                </c:pt>
                <c:pt idx="95">
                  <c:v>168</c:v>
                </c:pt>
                <c:pt idx="96">
                  <c:v>136</c:v>
                </c:pt>
                <c:pt idx="97">
                  <c:v>169</c:v>
                </c:pt>
                <c:pt idx="98">
                  <c:v>167</c:v>
                </c:pt>
                <c:pt idx="99">
                  <c:v>171</c:v>
                </c:pt>
                <c:pt idx="100">
                  <c:v>466</c:v>
                </c:pt>
              </c:numCache>
            </c:numRef>
          </c:val>
        </c:ser>
        <c:dLbls>
          <c:showLegendKey val="0"/>
          <c:showVal val="0"/>
          <c:showCatName val="0"/>
          <c:showSerName val="0"/>
          <c:showPercent val="0"/>
          <c:showBubbleSize val="0"/>
        </c:dLbls>
        <c:gapWidth val="150"/>
        <c:axId val="161675904"/>
        <c:axId val="162820864"/>
      </c:barChart>
      <c:catAx>
        <c:axId val="161675904"/>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200" b="0" i="0" baseline="0">
                    <a:effectLst/>
                  </a:rPr>
                  <a:t>MNP</a:t>
                </a:r>
                <a:r>
                  <a:rPr altLang="en-US" sz="1200" b="0" i="0" baseline="0">
                    <a:effectLst/>
                  </a:rPr>
                  <a:t>标记差异比例</a:t>
                </a:r>
                <a:r>
                  <a:rPr lang="en-US" altLang="zh-CN" sz="1200" b="0" i="0" baseline="0">
                    <a:effectLst/>
                  </a:rPr>
                  <a:t>(%)</a:t>
                </a:r>
                <a:endParaRPr lang="zh-CN" altLang="zh-CN" sz="1200" b="0">
                  <a:effectLst/>
                </a:endParaRPr>
              </a:p>
            </c:rich>
          </c:tx>
          <c:layout>
            <c:manualLayout>
              <c:xMode val="edge"/>
              <c:yMode val="edge"/>
              <c:x val="0.354695604695605"/>
              <c:y val="0.843809523809524"/>
            </c:manualLayout>
          </c:layout>
          <c:overlay val="0"/>
        </c:title>
        <c:numFmt formatCode="General" sourceLinked="1"/>
        <c:majorTickMark val="out"/>
        <c:minorTickMark val="none"/>
        <c:tickLblPos val="nextTo"/>
        <c:spPr>
          <a:ln w="9525" cap="flat" cmpd="sng" algn="ctr">
            <a:solidFill>
              <a:schemeClr val="tx1">
                <a:lumMod val="95000"/>
                <a:lumOff val="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820864"/>
        <c:crosses val="autoZero"/>
        <c:auto val="1"/>
        <c:lblAlgn val="ctr"/>
        <c:lblOffset val="100"/>
        <c:tickLblSkip val="5"/>
        <c:noMultiLvlLbl val="0"/>
      </c:catAx>
      <c:valAx>
        <c:axId val="162820864"/>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400"/>
                  <a:t>样品对数</a:t>
                </a:r>
                <a:endParaRPr lang="zh-CN" altLang="en-US" sz="1400"/>
              </a:p>
            </c:rich>
          </c:tx>
          <c:layout/>
          <c:overlay val="0"/>
        </c:title>
        <c:numFmt formatCode="General" sourceLinked="1"/>
        <c:majorTickMark val="out"/>
        <c:minorTickMark val="none"/>
        <c:tickLblPos val="nextTo"/>
        <c:spPr>
          <a:ln w="9525" cap="flat" cmpd="sng" algn="ctr">
            <a:solidFill>
              <a:schemeClr val="tx1">
                <a:lumMod val="95000"/>
                <a:lumOff val="5000"/>
                <a:alpha val="97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675904"/>
        <c:crosses val="autoZero"/>
        <c:crossBetween val="between"/>
        <c:majorUnit val="50"/>
        <c:minorUnit val="20"/>
      </c:valAx>
    </c:plotArea>
    <c:plotVisOnly val="1"/>
    <c:dispBlanksAs val="gap"/>
    <c:showDLblsOverMax val="0"/>
    <c:extLst>
      <c:ext uri="{0b15fc19-7d7d-44ad-8c2d-2c3a37ce22c3}">
        <chartProps xmlns="https://web.wps.cn/et/2018/main" chartId="{bd21ddd9-34c8-4c9f-8f39-335d815f4021}"/>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1756-D667-4955-B545-AB4784AE9D5D}">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23</Pages>
  <Words>6302</Words>
  <Characters>6898</Characters>
  <Lines>186</Lines>
  <Paragraphs>52</Paragraphs>
  <TotalTime>0</TotalTime>
  <ScaleCrop>false</ScaleCrop>
  <LinksUpToDate>false</LinksUpToDate>
  <CharactersWithSpaces>6962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2023-07-06T03:20:00Z</dcterms:created>
  <dc:creator>李甜甜</dc:creator>
  <cp:lastModifiedBy>甜甜</cp:lastModifiedBy>
  <cp:lastPrinted>2023-06-15T07:59:00Z</cp:lastPrinted>
  <dcterms:modified xsi:type="dcterms:W3CDTF">2024-10-21T06:38:27Z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8ED0204E0AE949A28615448408E8DBC8_13</vt:lpwstr>
  </property>
</Properties>
</file>