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555" w:lineRule="atLeast"/>
        <w:ind w:right="0"/>
        <w:jc w:val="left"/>
        <w:rPr>
          <w:rFonts w:hint="eastAsia" w:eastAsia="方正小标宋简体"/>
          <w:sz w:val="36"/>
          <w:szCs w:val="36"/>
        </w:rPr>
      </w:pPr>
      <w:bookmarkStart w:id="0" w:name="_GoBack"/>
      <w:r>
        <w:rPr>
          <w:rFonts w:hint="eastAsia" w:ascii="仿宋" w:hAnsi="仿宋" w:eastAsia="仿宋" w:cs="仿宋"/>
          <w:i w:val="0"/>
          <w:caps w:val="0"/>
          <w:color w:val="000000"/>
          <w:spacing w:val="0"/>
          <w:sz w:val="28"/>
          <w:szCs w:val="28"/>
          <w:shd w:val="clear" w:fill="FFFFFF"/>
          <w:lang w:val="en-US" w:eastAsia="zh-CN"/>
        </w:rPr>
        <w:t>附件：</w:t>
      </w:r>
      <w:r>
        <w:rPr>
          <w:rFonts w:hint="eastAsia" w:eastAsia="方正小标宋简体"/>
          <w:sz w:val="36"/>
          <w:szCs w:val="36"/>
          <w:lang w:eastAsia="zh-CN"/>
        </w:rPr>
        <w:t>江汉</w:t>
      </w:r>
      <w:r>
        <w:rPr>
          <w:rFonts w:hint="eastAsia" w:eastAsia="方正小标宋简体"/>
          <w:sz w:val="36"/>
          <w:szCs w:val="36"/>
        </w:rPr>
        <w:t>大学实验室安全风险等级评估标准</w:t>
      </w:r>
    </w:p>
    <w:bookmarkEnd w:id="0"/>
    <w:p>
      <w:pPr>
        <w:adjustRightInd w:val="0"/>
        <w:snapToGrid w:val="0"/>
        <w:spacing w:before="156" w:beforeLines="50" w:line="500" w:lineRule="exact"/>
        <w:jc w:val="left"/>
        <w:rPr>
          <w:b/>
          <w:sz w:val="28"/>
          <w:szCs w:val="30"/>
        </w:rPr>
      </w:pPr>
      <w:r>
        <w:rPr>
          <w:b/>
          <w:sz w:val="28"/>
          <w:szCs w:val="30"/>
        </w:rPr>
        <w:t>实验室名称：</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603"/>
        <w:gridCol w:w="715"/>
        <w:gridCol w:w="759"/>
        <w:gridCol w:w="141"/>
        <w:gridCol w:w="360"/>
        <w:gridCol w:w="2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28" w:type="dxa"/>
            <w:vMerge w:val="restart"/>
            <w:vAlign w:val="center"/>
          </w:tcPr>
          <w:p>
            <w:pPr>
              <w:spacing w:line="240" w:lineRule="exact"/>
              <w:jc w:val="center"/>
              <w:rPr>
                <w:rFonts w:eastAsia="黑体"/>
                <w:b/>
                <w:bCs/>
                <w:kern w:val="0"/>
                <w:szCs w:val="21"/>
              </w:rPr>
            </w:pPr>
            <w:r>
              <w:rPr>
                <w:rFonts w:eastAsia="黑体"/>
                <w:b/>
                <w:bCs/>
                <w:kern w:val="0"/>
                <w:szCs w:val="21"/>
              </w:rPr>
              <w:t>序号</w:t>
            </w:r>
          </w:p>
        </w:tc>
        <w:tc>
          <w:tcPr>
            <w:tcW w:w="5603" w:type="dxa"/>
            <w:vMerge w:val="restart"/>
            <w:vAlign w:val="center"/>
          </w:tcPr>
          <w:p>
            <w:pPr>
              <w:spacing w:line="240" w:lineRule="exact"/>
              <w:jc w:val="center"/>
              <w:rPr>
                <w:rFonts w:eastAsia="黑体"/>
                <w:b/>
                <w:bCs/>
                <w:kern w:val="0"/>
                <w:szCs w:val="21"/>
              </w:rPr>
            </w:pPr>
            <w:r>
              <w:rPr>
                <w:rFonts w:eastAsia="黑体"/>
                <w:b/>
                <w:bCs/>
                <w:kern w:val="0"/>
                <w:szCs w:val="21"/>
              </w:rPr>
              <w:t>检查项目</w:t>
            </w:r>
          </w:p>
        </w:tc>
        <w:tc>
          <w:tcPr>
            <w:tcW w:w="2891" w:type="dxa"/>
            <w:gridSpan w:val="6"/>
            <w:vAlign w:val="center"/>
          </w:tcPr>
          <w:p>
            <w:pPr>
              <w:widowControl/>
              <w:spacing w:line="240" w:lineRule="exact"/>
              <w:jc w:val="center"/>
              <w:rPr>
                <w:rFonts w:eastAsia="黑体"/>
                <w:b/>
                <w:bCs/>
                <w:kern w:val="0"/>
                <w:szCs w:val="21"/>
              </w:rPr>
            </w:pPr>
            <w:r>
              <w:rPr>
                <w:rFonts w:hint="eastAsia" w:eastAsia="黑体"/>
                <w:b/>
                <w:bCs/>
                <w:kern w:val="0"/>
                <w:szCs w:val="21"/>
              </w:rPr>
              <w:t>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28" w:type="dxa"/>
            <w:vMerge w:val="continue"/>
            <w:vAlign w:val="center"/>
          </w:tcPr>
          <w:p>
            <w:pPr>
              <w:widowControl/>
              <w:spacing w:line="240" w:lineRule="exact"/>
              <w:jc w:val="center"/>
              <w:rPr>
                <w:rFonts w:eastAsia="黑体"/>
                <w:b/>
                <w:bCs/>
                <w:kern w:val="0"/>
                <w:szCs w:val="21"/>
              </w:rPr>
            </w:pPr>
          </w:p>
        </w:tc>
        <w:tc>
          <w:tcPr>
            <w:tcW w:w="5603" w:type="dxa"/>
            <w:vMerge w:val="continue"/>
            <w:vAlign w:val="center"/>
          </w:tcPr>
          <w:p>
            <w:pPr>
              <w:widowControl/>
              <w:spacing w:line="240" w:lineRule="exact"/>
              <w:jc w:val="center"/>
              <w:rPr>
                <w:rFonts w:eastAsia="黑体"/>
                <w:b/>
                <w:bCs/>
                <w:kern w:val="0"/>
                <w:szCs w:val="21"/>
              </w:rPr>
            </w:pPr>
          </w:p>
        </w:tc>
        <w:tc>
          <w:tcPr>
            <w:tcW w:w="715" w:type="dxa"/>
            <w:vAlign w:val="center"/>
          </w:tcPr>
          <w:p>
            <w:pPr>
              <w:widowControl/>
              <w:spacing w:line="240" w:lineRule="exact"/>
              <w:jc w:val="center"/>
              <w:rPr>
                <w:rFonts w:eastAsia="黑体"/>
                <w:b/>
                <w:bCs/>
                <w:kern w:val="0"/>
                <w:szCs w:val="21"/>
              </w:rPr>
            </w:pPr>
            <w:r>
              <w:rPr>
                <w:rFonts w:eastAsia="黑体"/>
                <w:b/>
                <w:bCs/>
                <w:kern w:val="0"/>
                <w:szCs w:val="21"/>
              </w:rPr>
              <w:t>符合</w:t>
            </w:r>
          </w:p>
        </w:tc>
        <w:tc>
          <w:tcPr>
            <w:tcW w:w="759" w:type="dxa"/>
            <w:vAlign w:val="center"/>
          </w:tcPr>
          <w:p>
            <w:pPr>
              <w:widowControl/>
              <w:spacing w:line="240" w:lineRule="exact"/>
              <w:jc w:val="center"/>
              <w:rPr>
                <w:rFonts w:eastAsia="黑体"/>
                <w:b/>
                <w:bCs/>
                <w:kern w:val="0"/>
                <w:szCs w:val="21"/>
              </w:rPr>
            </w:pPr>
            <w:r>
              <w:rPr>
                <w:rFonts w:eastAsia="黑体"/>
                <w:b/>
                <w:bCs/>
                <w:kern w:val="0"/>
                <w:szCs w:val="21"/>
              </w:rPr>
              <w:t>不符合</w:t>
            </w:r>
          </w:p>
        </w:tc>
        <w:tc>
          <w:tcPr>
            <w:tcW w:w="708" w:type="dxa"/>
            <w:gridSpan w:val="3"/>
            <w:vAlign w:val="center"/>
          </w:tcPr>
          <w:p>
            <w:pPr>
              <w:widowControl/>
              <w:spacing w:line="240" w:lineRule="exact"/>
              <w:jc w:val="center"/>
              <w:rPr>
                <w:rFonts w:eastAsia="黑体"/>
                <w:b/>
                <w:bCs/>
                <w:kern w:val="0"/>
                <w:szCs w:val="21"/>
              </w:rPr>
            </w:pPr>
            <w:r>
              <w:rPr>
                <w:rFonts w:eastAsia="黑体"/>
                <w:b/>
                <w:bCs/>
                <w:kern w:val="0"/>
                <w:szCs w:val="21"/>
              </w:rPr>
              <w:t>不适用</w:t>
            </w:r>
          </w:p>
        </w:tc>
        <w:tc>
          <w:tcPr>
            <w:tcW w:w="709" w:type="dxa"/>
            <w:vAlign w:val="top"/>
          </w:tcPr>
          <w:p>
            <w:pPr>
              <w:widowControl/>
              <w:spacing w:line="240" w:lineRule="exact"/>
              <w:jc w:val="center"/>
            </w:pPr>
            <w:r>
              <w:rPr>
                <w:rFonts w:hint="eastAsia" w:eastAsia="黑体"/>
                <w:b/>
                <w:bCs/>
                <w:kern w:val="0"/>
                <w:szCs w:val="21"/>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1</w:t>
            </w:r>
          </w:p>
        </w:tc>
        <w:tc>
          <w:tcPr>
            <w:tcW w:w="8494" w:type="dxa"/>
            <w:gridSpan w:val="7"/>
            <w:vAlign w:val="center"/>
          </w:tcPr>
          <w:p>
            <w:pPr>
              <w:widowControl/>
              <w:spacing w:line="240" w:lineRule="exact"/>
              <w:jc w:val="left"/>
              <w:rPr>
                <w:b/>
                <w:bCs/>
                <w:kern w:val="0"/>
                <w:szCs w:val="21"/>
              </w:rPr>
            </w:pPr>
            <w:r>
              <w:rPr>
                <w:b/>
                <w:kern w:val="0"/>
                <w:szCs w:val="21"/>
              </w:rPr>
              <w:t>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Cs/>
                <w:kern w:val="0"/>
                <w:szCs w:val="21"/>
              </w:rPr>
            </w:pPr>
            <w:r>
              <w:rPr>
                <w:rFonts w:hint="eastAsia"/>
                <w:bCs/>
                <w:kern w:val="0"/>
                <w:szCs w:val="21"/>
              </w:rPr>
              <w:t>1</w:t>
            </w:r>
            <w:r>
              <w:rPr>
                <w:bCs/>
                <w:kern w:val="0"/>
                <w:szCs w:val="21"/>
              </w:rPr>
              <w:t>.</w:t>
            </w:r>
            <w:r>
              <w:rPr>
                <w:rFonts w:hint="eastAsia"/>
                <w:bCs/>
                <w:kern w:val="0"/>
                <w:szCs w:val="21"/>
              </w:rPr>
              <w:t>1</w:t>
            </w:r>
          </w:p>
        </w:tc>
        <w:tc>
          <w:tcPr>
            <w:tcW w:w="5603" w:type="dxa"/>
            <w:vAlign w:val="center"/>
          </w:tcPr>
          <w:p>
            <w:pPr>
              <w:widowControl/>
              <w:spacing w:line="240" w:lineRule="exact"/>
              <w:jc w:val="left"/>
              <w:rPr>
                <w:bCs/>
                <w:kern w:val="0"/>
                <w:szCs w:val="21"/>
              </w:rPr>
            </w:pPr>
            <w:r>
              <w:rPr>
                <w:bCs/>
                <w:kern w:val="0"/>
                <w:szCs w:val="21"/>
              </w:rPr>
              <w:t>具有学科特色的实验室安全管理制度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1</w:t>
            </w:r>
            <w:r>
              <w:rPr>
                <w:kern w:val="0"/>
                <w:szCs w:val="21"/>
              </w:rPr>
              <w:t>.</w:t>
            </w:r>
            <w:r>
              <w:rPr>
                <w:rFonts w:hint="eastAsia"/>
                <w:kern w:val="0"/>
                <w:szCs w:val="21"/>
              </w:rPr>
              <w:t>2</w:t>
            </w:r>
          </w:p>
        </w:tc>
        <w:tc>
          <w:tcPr>
            <w:tcW w:w="5603" w:type="dxa"/>
            <w:vAlign w:val="center"/>
          </w:tcPr>
          <w:p>
            <w:pPr>
              <w:widowControl/>
              <w:spacing w:line="240" w:lineRule="exact"/>
              <w:jc w:val="left"/>
              <w:rPr>
                <w:kern w:val="0"/>
                <w:szCs w:val="21"/>
              </w:rPr>
            </w:pPr>
            <w:r>
              <w:rPr>
                <w:kern w:val="0"/>
                <w:szCs w:val="21"/>
              </w:rPr>
              <w:t>有安全检查与值班值日制度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1</w:t>
            </w:r>
            <w:r>
              <w:rPr>
                <w:kern w:val="0"/>
                <w:szCs w:val="21"/>
              </w:rPr>
              <w:t>.</w:t>
            </w:r>
            <w:r>
              <w:rPr>
                <w:rFonts w:hint="eastAsia"/>
                <w:kern w:val="0"/>
                <w:szCs w:val="21"/>
              </w:rPr>
              <w:t>3</w:t>
            </w:r>
          </w:p>
        </w:tc>
        <w:tc>
          <w:tcPr>
            <w:tcW w:w="5603" w:type="dxa"/>
            <w:vAlign w:val="center"/>
          </w:tcPr>
          <w:p>
            <w:pPr>
              <w:widowControl/>
              <w:spacing w:line="240" w:lineRule="exact"/>
              <w:jc w:val="left"/>
              <w:rPr>
                <w:kern w:val="0"/>
                <w:szCs w:val="21"/>
              </w:rPr>
            </w:pPr>
            <w:r>
              <w:rPr>
                <w:kern w:val="0"/>
                <w:szCs w:val="21"/>
              </w:rPr>
              <w:t>有仪器设备的安全操作规程（包括大型仪器，高温、高速、高压、强磁、低温等设备），并上墙</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1</w:t>
            </w:r>
            <w:r>
              <w:rPr>
                <w:kern w:val="0"/>
                <w:szCs w:val="21"/>
              </w:rPr>
              <w:t>.</w:t>
            </w:r>
            <w:r>
              <w:rPr>
                <w:rFonts w:hint="eastAsia"/>
                <w:kern w:val="0"/>
                <w:szCs w:val="21"/>
              </w:rPr>
              <w:t>4</w:t>
            </w:r>
          </w:p>
        </w:tc>
        <w:tc>
          <w:tcPr>
            <w:tcW w:w="5603" w:type="dxa"/>
            <w:vAlign w:val="center"/>
          </w:tcPr>
          <w:p>
            <w:pPr>
              <w:widowControl/>
              <w:spacing w:line="240" w:lineRule="exact"/>
              <w:jc w:val="left"/>
              <w:rPr>
                <w:kern w:val="0"/>
                <w:szCs w:val="21"/>
              </w:rPr>
            </w:pPr>
            <w:r>
              <w:rPr>
                <w:kern w:val="0"/>
                <w:szCs w:val="21"/>
              </w:rPr>
              <w:t>危险性实验有操作规程（含安全注意事项），并上墙</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1</w:t>
            </w:r>
            <w:r>
              <w:rPr>
                <w:kern w:val="0"/>
                <w:szCs w:val="21"/>
              </w:rPr>
              <w:t>.</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有体现学科特色的应急预案</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2</w:t>
            </w:r>
          </w:p>
        </w:tc>
        <w:tc>
          <w:tcPr>
            <w:tcW w:w="8494" w:type="dxa"/>
            <w:gridSpan w:val="7"/>
            <w:vAlign w:val="center"/>
          </w:tcPr>
          <w:p>
            <w:pPr>
              <w:widowControl/>
              <w:spacing w:line="240" w:lineRule="exact"/>
              <w:jc w:val="left"/>
              <w:rPr>
                <w:b/>
                <w:bCs/>
                <w:kern w:val="0"/>
                <w:szCs w:val="21"/>
              </w:rPr>
            </w:pPr>
            <w:r>
              <w:rPr>
                <w:b/>
                <w:kern w:val="0"/>
                <w:szCs w:val="21"/>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2</w:t>
            </w:r>
            <w:r>
              <w:rPr>
                <w:b/>
                <w:kern w:val="0"/>
                <w:szCs w:val="21"/>
              </w:rPr>
              <w:t>.1</w:t>
            </w:r>
          </w:p>
        </w:tc>
        <w:tc>
          <w:tcPr>
            <w:tcW w:w="8494" w:type="dxa"/>
            <w:gridSpan w:val="7"/>
            <w:vAlign w:val="center"/>
          </w:tcPr>
          <w:p>
            <w:pPr>
              <w:widowControl/>
              <w:spacing w:line="240" w:lineRule="exact"/>
              <w:jc w:val="left"/>
              <w:rPr>
                <w:b/>
                <w:bCs/>
                <w:kern w:val="0"/>
                <w:szCs w:val="21"/>
              </w:rPr>
            </w:pPr>
            <w:r>
              <w:rPr>
                <w:b/>
                <w:kern w:val="0"/>
                <w:szCs w:val="21"/>
              </w:rPr>
              <w:t>教育培训计划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.1.1</w:t>
            </w:r>
          </w:p>
        </w:tc>
        <w:tc>
          <w:tcPr>
            <w:tcW w:w="5603" w:type="dxa"/>
            <w:vAlign w:val="center"/>
          </w:tcPr>
          <w:p>
            <w:pPr>
              <w:widowControl/>
              <w:spacing w:line="240" w:lineRule="exact"/>
              <w:jc w:val="left"/>
              <w:rPr>
                <w:kern w:val="0"/>
                <w:szCs w:val="21"/>
              </w:rPr>
            </w:pPr>
            <w:r>
              <w:rPr>
                <w:kern w:val="0"/>
                <w:szCs w:val="21"/>
              </w:rPr>
              <w:t>有年度安全教育培训计划</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.1.2</w:t>
            </w:r>
          </w:p>
        </w:tc>
        <w:tc>
          <w:tcPr>
            <w:tcW w:w="5603" w:type="dxa"/>
            <w:vAlign w:val="center"/>
          </w:tcPr>
          <w:p>
            <w:pPr>
              <w:widowControl/>
              <w:spacing w:line="240" w:lineRule="exact"/>
              <w:jc w:val="left"/>
              <w:rPr>
                <w:kern w:val="0"/>
                <w:szCs w:val="21"/>
              </w:rPr>
            </w:pPr>
            <w:r>
              <w:rPr>
                <w:kern w:val="0"/>
                <w:szCs w:val="21"/>
              </w:rPr>
              <w:t>有安全教育和培训的记录，并规范存档</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2</w:t>
            </w:r>
            <w:r>
              <w:rPr>
                <w:b/>
                <w:kern w:val="0"/>
                <w:szCs w:val="21"/>
              </w:rPr>
              <w:t>.2</w:t>
            </w:r>
          </w:p>
        </w:tc>
        <w:tc>
          <w:tcPr>
            <w:tcW w:w="8494" w:type="dxa"/>
            <w:gridSpan w:val="7"/>
            <w:vAlign w:val="center"/>
          </w:tcPr>
          <w:p>
            <w:pPr>
              <w:widowControl/>
              <w:spacing w:line="240" w:lineRule="exact"/>
              <w:jc w:val="left"/>
              <w:rPr>
                <w:b/>
                <w:bCs/>
                <w:kern w:val="0"/>
                <w:szCs w:val="21"/>
              </w:rPr>
            </w:pPr>
            <w:r>
              <w:rPr>
                <w:b/>
                <w:kern w:val="0"/>
                <w:szCs w:val="21"/>
              </w:rPr>
              <w:t>活动组织与实施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.2.1</w:t>
            </w:r>
          </w:p>
        </w:tc>
        <w:tc>
          <w:tcPr>
            <w:tcW w:w="5603" w:type="dxa"/>
            <w:vAlign w:val="center"/>
          </w:tcPr>
          <w:p>
            <w:pPr>
              <w:widowControl/>
              <w:spacing w:line="240" w:lineRule="exact"/>
              <w:jc w:val="left"/>
              <w:rPr>
                <w:kern w:val="0"/>
                <w:szCs w:val="21"/>
              </w:rPr>
            </w:pPr>
            <w:r>
              <w:rPr>
                <w:kern w:val="0"/>
                <w:szCs w:val="21"/>
              </w:rPr>
              <w:t>开展了教职工安全教育与培训，</w:t>
            </w:r>
            <w:r>
              <w:rPr>
                <w:kern w:val="0"/>
                <w:sz w:val="22"/>
                <w:szCs w:val="21"/>
              </w:rPr>
              <w:t>有资料存档</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.2.2</w:t>
            </w:r>
          </w:p>
        </w:tc>
        <w:tc>
          <w:tcPr>
            <w:tcW w:w="5603" w:type="dxa"/>
            <w:vAlign w:val="center"/>
          </w:tcPr>
          <w:p>
            <w:pPr>
              <w:widowControl/>
              <w:spacing w:line="240" w:lineRule="exact"/>
              <w:jc w:val="left"/>
              <w:rPr>
                <w:kern w:val="0"/>
                <w:szCs w:val="21"/>
              </w:rPr>
            </w:pPr>
            <w:r>
              <w:rPr>
                <w:kern w:val="0"/>
                <w:szCs w:val="21"/>
              </w:rPr>
              <w:t>开展了研究生安全教育与培训，</w:t>
            </w:r>
            <w:r>
              <w:rPr>
                <w:kern w:val="0"/>
                <w:sz w:val="22"/>
                <w:szCs w:val="21"/>
              </w:rPr>
              <w:t>有资料存档</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.2.3</w:t>
            </w:r>
          </w:p>
        </w:tc>
        <w:tc>
          <w:tcPr>
            <w:tcW w:w="5603" w:type="dxa"/>
            <w:vAlign w:val="center"/>
          </w:tcPr>
          <w:p>
            <w:pPr>
              <w:widowControl/>
              <w:spacing w:line="240" w:lineRule="exact"/>
              <w:jc w:val="left"/>
              <w:rPr>
                <w:kern w:val="0"/>
                <w:szCs w:val="21"/>
              </w:rPr>
            </w:pPr>
            <w:r>
              <w:rPr>
                <w:kern w:val="0"/>
                <w:szCs w:val="21"/>
              </w:rPr>
              <w:t>开展了本科生安全教育与培训，</w:t>
            </w:r>
            <w:r>
              <w:rPr>
                <w:kern w:val="0"/>
                <w:sz w:val="22"/>
                <w:szCs w:val="21"/>
              </w:rPr>
              <w:t>有资料存档</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.2.4</w:t>
            </w:r>
          </w:p>
        </w:tc>
        <w:tc>
          <w:tcPr>
            <w:tcW w:w="5603" w:type="dxa"/>
            <w:vAlign w:val="center"/>
          </w:tcPr>
          <w:p>
            <w:pPr>
              <w:widowControl/>
              <w:spacing w:line="240" w:lineRule="exact"/>
              <w:jc w:val="left"/>
              <w:rPr>
                <w:kern w:val="0"/>
                <w:szCs w:val="21"/>
              </w:rPr>
            </w:pPr>
            <w:r>
              <w:rPr>
                <w:kern w:val="0"/>
                <w:szCs w:val="21"/>
              </w:rPr>
              <w:t>开展了结合学科特点的应急演练，</w:t>
            </w:r>
            <w:r>
              <w:rPr>
                <w:kern w:val="0"/>
                <w:sz w:val="22"/>
                <w:szCs w:val="21"/>
              </w:rPr>
              <w:t>有资料存档</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2</w:t>
            </w:r>
            <w:r>
              <w:rPr>
                <w:b/>
                <w:kern w:val="0"/>
                <w:szCs w:val="21"/>
              </w:rPr>
              <w:t>.3</w:t>
            </w:r>
          </w:p>
        </w:tc>
        <w:tc>
          <w:tcPr>
            <w:tcW w:w="8494" w:type="dxa"/>
            <w:gridSpan w:val="7"/>
            <w:vAlign w:val="center"/>
          </w:tcPr>
          <w:p>
            <w:pPr>
              <w:widowControl/>
              <w:spacing w:line="240" w:lineRule="exact"/>
              <w:jc w:val="left"/>
              <w:rPr>
                <w:b/>
                <w:bCs/>
                <w:kern w:val="0"/>
                <w:szCs w:val="21"/>
              </w:rPr>
            </w:pPr>
            <w:r>
              <w:rPr>
                <w:b/>
                <w:kern w:val="0"/>
                <w:szCs w:val="21"/>
              </w:rPr>
              <w:t>实验室安全考试系统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.3.1</w:t>
            </w:r>
          </w:p>
        </w:tc>
        <w:tc>
          <w:tcPr>
            <w:tcW w:w="5603" w:type="dxa"/>
            <w:vAlign w:val="center"/>
          </w:tcPr>
          <w:p>
            <w:pPr>
              <w:widowControl/>
              <w:spacing w:line="240" w:lineRule="exact"/>
              <w:jc w:val="left"/>
              <w:rPr>
                <w:kern w:val="0"/>
                <w:szCs w:val="21"/>
              </w:rPr>
            </w:pPr>
            <w:r>
              <w:rPr>
                <w:kern w:val="0"/>
                <w:szCs w:val="21"/>
              </w:rPr>
              <w:t>建立了实验室安全考试系统</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.3.</w:t>
            </w:r>
            <w:r>
              <w:rPr>
                <w:rFonts w:hint="eastAsia"/>
                <w:kern w:val="0"/>
                <w:szCs w:val="21"/>
              </w:rPr>
              <w:t>2</w:t>
            </w:r>
          </w:p>
        </w:tc>
        <w:tc>
          <w:tcPr>
            <w:tcW w:w="5603" w:type="dxa"/>
            <w:vAlign w:val="center"/>
          </w:tcPr>
          <w:p>
            <w:pPr>
              <w:widowControl/>
              <w:spacing w:line="240" w:lineRule="exact"/>
              <w:jc w:val="left"/>
              <w:rPr>
                <w:kern w:val="0"/>
                <w:szCs w:val="21"/>
              </w:rPr>
            </w:pPr>
            <w:r>
              <w:rPr>
                <w:kern w:val="0"/>
                <w:szCs w:val="21"/>
              </w:rPr>
              <w:t>组织对教师的考试，有记录</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2</w:t>
            </w:r>
            <w:r>
              <w:rPr>
                <w:b/>
                <w:kern w:val="0"/>
                <w:szCs w:val="21"/>
              </w:rPr>
              <w:t>.4</w:t>
            </w:r>
          </w:p>
        </w:tc>
        <w:tc>
          <w:tcPr>
            <w:tcW w:w="7785" w:type="dxa"/>
            <w:gridSpan w:val="6"/>
            <w:vAlign w:val="center"/>
          </w:tcPr>
          <w:p>
            <w:pPr>
              <w:widowControl/>
              <w:spacing w:line="240" w:lineRule="exact"/>
              <w:jc w:val="left"/>
              <w:rPr>
                <w:b/>
                <w:bCs/>
                <w:kern w:val="0"/>
                <w:szCs w:val="21"/>
              </w:rPr>
            </w:pPr>
            <w:r>
              <w:rPr>
                <w:b/>
                <w:kern w:val="0"/>
                <w:szCs w:val="21"/>
              </w:rPr>
              <w:t>宣传</w:t>
            </w:r>
          </w:p>
        </w:tc>
        <w:tc>
          <w:tcPr>
            <w:tcW w:w="709" w:type="dxa"/>
            <w:vAlign w:val="center"/>
          </w:tcPr>
          <w:p>
            <w:pPr>
              <w:widowControl/>
              <w:spacing w:line="24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.4.1</w:t>
            </w:r>
          </w:p>
        </w:tc>
        <w:tc>
          <w:tcPr>
            <w:tcW w:w="5603" w:type="dxa"/>
            <w:vAlign w:val="center"/>
          </w:tcPr>
          <w:p>
            <w:pPr>
              <w:widowControl/>
              <w:spacing w:line="240" w:lineRule="exact"/>
              <w:jc w:val="left"/>
              <w:rPr>
                <w:kern w:val="0"/>
                <w:szCs w:val="21"/>
              </w:rPr>
            </w:pPr>
            <w:r>
              <w:rPr>
                <w:kern w:val="0"/>
                <w:szCs w:val="21"/>
              </w:rPr>
              <w:t>在本单位主页设立专门的板块开展安全宣传、报道</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.4.2</w:t>
            </w:r>
          </w:p>
        </w:tc>
        <w:tc>
          <w:tcPr>
            <w:tcW w:w="5603" w:type="dxa"/>
            <w:vAlign w:val="center"/>
          </w:tcPr>
          <w:p>
            <w:pPr>
              <w:widowControl/>
              <w:spacing w:line="240" w:lineRule="exact"/>
              <w:jc w:val="left"/>
              <w:rPr>
                <w:kern w:val="0"/>
                <w:szCs w:val="21"/>
              </w:rPr>
            </w:pPr>
            <w:r>
              <w:rPr>
                <w:kern w:val="0"/>
                <w:szCs w:val="21"/>
              </w:rPr>
              <w:t>设有安全教育宣传窗，或有宣传画、标语、提示等</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.4.3</w:t>
            </w:r>
          </w:p>
        </w:tc>
        <w:tc>
          <w:tcPr>
            <w:tcW w:w="5603" w:type="dxa"/>
            <w:vAlign w:val="center"/>
          </w:tcPr>
          <w:p>
            <w:pPr>
              <w:widowControl/>
              <w:spacing w:line="240" w:lineRule="exact"/>
              <w:jc w:val="left"/>
              <w:rPr>
                <w:kern w:val="0"/>
                <w:szCs w:val="21"/>
              </w:rPr>
            </w:pPr>
            <w:r>
              <w:rPr>
                <w:rFonts w:hint="eastAsia"/>
                <w:kern w:val="0"/>
                <w:szCs w:val="21"/>
              </w:rPr>
              <w:t>与项目相关的</w:t>
            </w:r>
            <w:r>
              <w:rPr>
                <w:kern w:val="0"/>
                <w:szCs w:val="21"/>
              </w:rPr>
              <w:t>每一位</w:t>
            </w:r>
            <w:r>
              <w:rPr>
                <w:rFonts w:hint="eastAsia"/>
                <w:kern w:val="0"/>
                <w:szCs w:val="21"/>
              </w:rPr>
              <w:t>成员签订安全</w:t>
            </w:r>
            <w:r>
              <w:rPr>
                <w:kern w:val="0"/>
                <w:szCs w:val="21"/>
              </w:rPr>
              <w:t>承诺书并归档</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2</w:t>
            </w:r>
            <w:r>
              <w:rPr>
                <w:kern w:val="0"/>
                <w:szCs w:val="21"/>
              </w:rPr>
              <w:t>.4.4</w:t>
            </w:r>
          </w:p>
        </w:tc>
        <w:tc>
          <w:tcPr>
            <w:tcW w:w="5603" w:type="dxa"/>
            <w:vAlign w:val="center"/>
          </w:tcPr>
          <w:p>
            <w:pPr>
              <w:widowControl/>
              <w:spacing w:line="240" w:lineRule="exact"/>
              <w:jc w:val="left"/>
              <w:rPr>
                <w:kern w:val="0"/>
                <w:szCs w:val="21"/>
              </w:rPr>
            </w:pPr>
            <w:r>
              <w:rPr>
                <w:kern w:val="0"/>
                <w:szCs w:val="21"/>
              </w:rPr>
              <w:t>通过各种信息平台对师生进行安全方面的知识传输和温馨提醒</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3</w:t>
            </w:r>
          </w:p>
        </w:tc>
        <w:tc>
          <w:tcPr>
            <w:tcW w:w="8494" w:type="dxa"/>
            <w:gridSpan w:val="7"/>
            <w:vAlign w:val="center"/>
          </w:tcPr>
          <w:p>
            <w:pPr>
              <w:widowControl/>
              <w:spacing w:line="240" w:lineRule="exact"/>
              <w:jc w:val="left"/>
              <w:rPr>
                <w:b/>
                <w:bCs/>
                <w:kern w:val="0"/>
                <w:szCs w:val="21"/>
              </w:rPr>
            </w:pPr>
            <w:r>
              <w:rPr>
                <w:b/>
                <w:kern w:val="0"/>
                <w:szCs w:val="21"/>
              </w:rPr>
              <w:t>实验室环境与管理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b/>
                <w:kern w:val="0"/>
                <w:szCs w:val="21"/>
              </w:rPr>
            </w:pPr>
            <w:r>
              <w:rPr>
                <w:rFonts w:hint="eastAsia"/>
                <w:b/>
                <w:kern w:val="0"/>
                <w:szCs w:val="21"/>
              </w:rPr>
              <w:t>3</w:t>
            </w:r>
            <w:r>
              <w:rPr>
                <w:b/>
                <w:kern w:val="0"/>
                <w:szCs w:val="21"/>
              </w:rPr>
              <w:t>.1</w:t>
            </w:r>
          </w:p>
        </w:tc>
        <w:tc>
          <w:tcPr>
            <w:tcW w:w="8494" w:type="dxa"/>
            <w:gridSpan w:val="7"/>
            <w:vAlign w:val="center"/>
          </w:tcPr>
          <w:p>
            <w:pPr>
              <w:widowControl/>
              <w:spacing w:line="240" w:lineRule="exact"/>
              <w:jc w:val="left"/>
              <w:rPr>
                <w:b/>
                <w:bCs/>
                <w:kern w:val="0"/>
                <w:szCs w:val="21"/>
              </w:rPr>
            </w:pP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3</w:t>
            </w:r>
            <w:r>
              <w:rPr>
                <w:kern w:val="0"/>
                <w:szCs w:val="21"/>
              </w:rPr>
              <w:t>.1.1</w:t>
            </w:r>
          </w:p>
        </w:tc>
        <w:tc>
          <w:tcPr>
            <w:tcW w:w="5603" w:type="dxa"/>
            <w:vAlign w:val="center"/>
          </w:tcPr>
          <w:p>
            <w:pPr>
              <w:widowControl/>
              <w:spacing w:line="240" w:lineRule="exact"/>
              <w:jc w:val="left"/>
              <w:rPr>
                <w:kern w:val="0"/>
                <w:szCs w:val="21"/>
              </w:rPr>
            </w:pPr>
            <w:r>
              <w:rPr>
                <w:kern w:val="0"/>
                <w:szCs w:val="21"/>
              </w:rPr>
              <w:t>每个房间门口挂有安全信息牌，信息包括安全责任人、涉及危险类别、防护措施和有效的应急联系电话等，并及时更新</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3</w:t>
            </w:r>
            <w:r>
              <w:rPr>
                <w:kern w:val="0"/>
                <w:szCs w:val="21"/>
              </w:rPr>
              <w:t>.1.2</w:t>
            </w:r>
          </w:p>
        </w:tc>
        <w:tc>
          <w:tcPr>
            <w:tcW w:w="5603" w:type="dxa"/>
            <w:vAlign w:val="center"/>
          </w:tcPr>
          <w:p>
            <w:pPr>
              <w:widowControl/>
              <w:spacing w:line="240" w:lineRule="exact"/>
              <w:jc w:val="left"/>
              <w:rPr>
                <w:kern w:val="0"/>
                <w:szCs w:val="21"/>
              </w:rPr>
            </w:pPr>
            <w:r>
              <w:rPr>
                <w:kern w:val="0"/>
                <w:szCs w:val="21"/>
              </w:rPr>
              <w:t>实验室应张贴针对危险源的安全警示标识</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.1.3</w:t>
            </w:r>
          </w:p>
        </w:tc>
        <w:tc>
          <w:tcPr>
            <w:tcW w:w="5603" w:type="dxa"/>
            <w:vAlign w:val="center"/>
          </w:tcPr>
          <w:p>
            <w:pPr>
              <w:widowControl/>
              <w:spacing w:line="240" w:lineRule="exact"/>
              <w:jc w:val="left"/>
              <w:rPr>
                <w:kern w:val="0"/>
                <w:szCs w:val="21"/>
              </w:rPr>
            </w:pPr>
            <w:r>
              <w:rPr>
                <w:kern w:val="0"/>
                <w:szCs w:val="21"/>
              </w:rPr>
              <w:t>实验室消防通道通畅，公共场所、通道无堆放仪器、物品现象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.1.4</w:t>
            </w:r>
          </w:p>
        </w:tc>
        <w:tc>
          <w:tcPr>
            <w:tcW w:w="5603" w:type="dxa"/>
            <w:vAlign w:val="center"/>
          </w:tcPr>
          <w:p>
            <w:pPr>
              <w:widowControl/>
              <w:spacing w:line="240" w:lineRule="exact"/>
              <w:jc w:val="left"/>
              <w:rPr>
                <w:kern w:val="0"/>
                <w:szCs w:val="21"/>
              </w:rPr>
            </w:pPr>
            <w:r>
              <w:rPr>
                <w:kern w:val="0"/>
                <w:szCs w:val="21"/>
              </w:rPr>
              <w:t>实验室门上有</w:t>
            </w:r>
            <w:r>
              <w:rPr>
                <w:szCs w:val="21"/>
              </w:rPr>
              <w:t>观察窗</w:t>
            </w:r>
            <w:r>
              <w:rPr>
                <w:rFonts w:hint="eastAsia"/>
                <w:szCs w:val="21"/>
              </w:rPr>
              <w:t>，</w:t>
            </w:r>
            <w:r>
              <w:rPr>
                <w:szCs w:val="21"/>
              </w:rPr>
              <w:t>外开门不阻挡逃生路径</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.1.</w:t>
            </w:r>
            <w:r>
              <w:rPr>
                <w:rFonts w:hint="eastAsia"/>
                <w:kern w:val="0"/>
                <w:szCs w:val="21"/>
              </w:rPr>
              <w:t>5</w:t>
            </w:r>
          </w:p>
        </w:tc>
        <w:tc>
          <w:tcPr>
            <w:tcW w:w="5603" w:type="dxa"/>
            <w:vAlign w:val="center"/>
          </w:tcPr>
          <w:p>
            <w:pPr>
              <w:widowControl/>
              <w:spacing w:line="240" w:lineRule="exact"/>
              <w:rPr>
                <w:kern w:val="0"/>
                <w:szCs w:val="21"/>
              </w:rPr>
            </w:pPr>
            <w:r>
              <w:rPr>
                <w:kern w:val="0"/>
                <w:szCs w:val="21"/>
              </w:rPr>
              <w:t>所有房间的钥匙有备用，存放在单位办公室或传达室内，由专人管理</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.1.6</w:t>
            </w:r>
          </w:p>
        </w:tc>
        <w:tc>
          <w:tcPr>
            <w:tcW w:w="5603" w:type="dxa"/>
            <w:vAlign w:val="center"/>
          </w:tcPr>
          <w:p>
            <w:pPr>
              <w:widowControl/>
              <w:spacing w:line="240" w:lineRule="exact"/>
              <w:jc w:val="left"/>
              <w:rPr>
                <w:kern w:val="0"/>
                <w:szCs w:val="21"/>
              </w:rPr>
            </w:pPr>
            <w:r>
              <w:rPr>
                <w:szCs w:val="21"/>
              </w:rPr>
              <w:t>超过200平米的实验室或楼层应具有至少两处紧急出口</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b/>
                <w:kern w:val="0"/>
                <w:szCs w:val="21"/>
              </w:rPr>
            </w:pPr>
            <w:r>
              <w:rPr>
                <w:rFonts w:hint="eastAsia"/>
                <w:b/>
                <w:kern w:val="0"/>
                <w:szCs w:val="21"/>
              </w:rPr>
              <w:t>3</w:t>
            </w:r>
            <w:r>
              <w:rPr>
                <w:b/>
                <w:kern w:val="0"/>
                <w:szCs w:val="21"/>
              </w:rPr>
              <w:t>.2</w:t>
            </w:r>
          </w:p>
        </w:tc>
        <w:tc>
          <w:tcPr>
            <w:tcW w:w="8494" w:type="dxa"/>
            <w:gridSpan w:val="7"/>
            <w:vAlign w:val="center"/>
          </w:tcPr>
          <w:p>
            <w:pPr>
              <w:widowControl/>
              <w:spacing w:line="240" w:lineRule="exact"/>
              <w:jc w:val="left"/>
              <w:rPr>
                <w:b/>
                <w:bCs/>
                <w:kern w:val="0"/>
                <w:szCs w:val="21"/>
              </w:rPr>
            </w:pPr>
            <w:r>
              <w:rPr>
                <w:b/>
                <w:kern w:val="0"/>
                <w:szCs w:val="21"/>
              </w:rPr>
              <w:t>卫生与环境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3</w:t>
            </w:r>
            <w:r>
              <w:rPr>
                <w:kern w:val="0"/>
                <w:szCs w:val="21"/>
              </w:rPr>
              <w:t>.2.1</w:t>
            </w:r>
          </w:p>
        </w:tc>
        <w:tc>
          <w:tcPr>
            <w:tcW w:w="5603" w:type="dxa"/>
            <w:vAlign w:val="center"/>
          </w:tcPr>
          <w:p>
            <w:pPr>
              <w:widowControl/>
              <w:spacing w:line="240" w:lineRule="exact"/>
              <w:jc w:val="left"/>
              <w:rPr>
                <w:kern w:val="0"/>
                <w:szCs w:val="21"/>
              </w:rPr>
            </w:pPr>
            <w:r>
              <w:rPr>
                <w:kern w:val="0"/>
                <w:szCs w:val="21"/>
              </w:rPr>
              <w:t>有毒有害实验区与学习区明确分开，布局合理</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.2.2</w:t>
            </w:r>
          </w:p>
        </w:tc>
        <w:tc>
          <w:tcPr>
            <w:tcW w:w="5603" w:type="dxa"/>
            <w:vAlign w:val="center"/>
          </w:tcPr>
          <w:p>
            <w:pPr>
              <w:widowControl/>
              <w:spacing w:line="240" w:lineRule="exact"/>
              <w:rPr>
                <w:kern w:val="0"/>
                <w:szCs w:val="21"/>
              </w:rPr>
            </w:pPr>
            <w:r>
              <w:rPr>
                <w:kern w:val="0"/>
                <w:szCs w:val="21"/>
              </w:rPr>
              <w:t>实验室物品摆放有序，卫生状况良好；实验完毕物品归位</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.2.3</w:t>
            </w:r>
          </w:p>
        </w:tc>
        <w:tc>
          <w:tcPr>
            <w:tcW w:w="5603" w:type="dxa"/>
            <w:vAlign w:val="center"/>
          </w:tcPr>
          <w:p>
            <w:pPr>
              <w:widowControl/>
              <w:spacing w:line="240" w:lineRule="exact"/>
              <w:jc w:val="left"/>
              <w:rPr>
                <w:kern w:val="0"/>
                <w:szCs w:val="21"/>
              </w:rPr>
            </w:pPr>
            <w:r>
              <w:rPr>
                <w:kern w:val="0"/>
                <w:szCs w:val="21"/>
              </w:rPr>
              <w:t>不存在门开着而无人的现象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.2.4</w:t>
            </w:r>
          </w:p>
        </w:tc>
        <w:tc>
          <w:tcPr>
            <w:tcW w:w="5603" w:type="dxa"/>
            <w:vAlign w:val="center"/>
          </w:tcPr>
          <w:p>
            <w:pPr>
              <w:widowControl/>
              <w:spacing w:line="240" w:lineRule="exact"/>
              <w:rPr>
                <w:kern w:val="0"/>
                <w:szCs w:val="21"/>
              </w:rPr>
            </w:pPr>
            <w:r>
              <w:rPr>
                <w:kern w:val="0"/>
                <w:szCs w:val="21"/>
              </w:rPr>
              <w:t>无废弃物品（如纸板箱、废电脑、破仪器、破家具等）</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b/>
                <w:kern w:val="0"/>
                <w:szCs w:val="21"/>
              </w:rPr>
              <w:t>3</w:t>
            </w:r>
            <w:r>
              <w:rPr>
                <w:b/>
                <w:kern w:val="0"/>
                <w:szCs w:val="21"/>
              </w:rPr>
              <w:t>.3</w:t>
            </w:r>
          </w:p>
        </w:tc>
        <w:tc>
          <w:tcPr>
            <w:tcW w:w="8494" w:type="dxa"/>
            <w:gridSpan w:val="7"/>
            <w:vAlign w:val="center"/>
          </w:tcPr>
          <w:p>
            <w:pPr>
              <w:widowControl/>
              <w:spacing w:line="240" w:lineRule="exact"/>
              <w:jc w:val="left"/>
              <w:rPr>
                <w:b/>
                <w:bCs/>
                <w:kern w:val="0"/>
                <w:szCs w:val="21"/>
              </w:rPr>
            </w:pPr>
            <w:r>
              <w:rPr>
                <w:b/>
                <w:kern w:val="0"/>
                <w:szCs w:val="21"/>
              </w:rPr>
              <w:t>危险品</w:t>
            </w:r>
            <w:r>
              <w:rPr>
                <w:rFonts w:hint="eastAsia"/>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.3.</w:t>
            </w:r>
            <w:r>
              <w:rPr>
                <w:rFonts w:hint="eastAsia"/>
                <w:kern w:val="0"/>
                <w:szCs w:val="21"/>
              </w:rPr>
              <w:t>1</w:t>
            </w:r>
          </w:p>
        </w:tc>
        <w:tc>
          <w:tcPr>
            <w:tcW w:w="5603" w:type="dxa"/>
            <w:vAlign w:val="top"/>
          </w:tcPr>
          <w:p>
            <w:pPr>
              <w:widowControl/>
              <w:spacing w:line="240" w:lineRule="exact"/>
              <w:rPr>
                <w:kern w:val="0"/>
                <w:szCs w:val="21"/>
              </w:rPr>
            </w:pPr>
            <w:r>
              <w:rPr>
                <w:szCs w:val="21"/>
              </w:rPr>
              <w:t>照明和消防设施符合国家相关规定，正确配备灭火器材（如灭火器、灭火毯等）</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.3.</w:t>
            </w:r>
            <w:r>
              <w:rPr>
                <w:rFonts w:hint="eastAsia"/>
                <w:kern w:val="0"/>
                <w:szCs w:val="21"/>
              </w:rPr>
              <w:t>2</w:t>
            </w:r>
          </w:p>
        </w:tc>
        <w:tc>
          <w:tcPr>
            <w:tcW w:w="5603" w:type="dxa"/>
            <w:vAlign w:val="top"/>
          </w:tcPr>
          <w:p>
            <w:pPr>
              <w:widowControl/>
              <w:spacing w:line="240" w:lineRule="exact"/>
              <w:rPr>
                <w:kern w:val="0"/>
                <w:szCs w:val="21"/>
              </w:rPr>
            </w:pPr>
            <w:r>
              <w:rPr>
                <w:szCs w:val="21"/>
              </w:rPr>
              <w:t>安装监控、报警装置、通风装置和喷淋装置</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.3.</w:t>
            </w:r>
            <w:r>
              <w:rPr>
                <w:rFonts w:hint="eastAsia"/>
                <w:kern w:val="0"/>
                <w:szCs w:val="21"/>
              </w:rPr>
              <w:t>3</w:t>
            </w:r>
          </w:p>
        </w:tc>
        <w:tc>
          <w:tcPr>
            <w:tcW w:w="5603" w:type="dxa"/>
            <w:vAlign w:val="top"/>
          </w:tcPr>
          <w:p>
            <w:pPr>
              <w:widowControl/>
              <w:spacing w:line="240" w:lineRule="exact"/>
              <w:rPr>
                <w:kern w:val="0"/>
                <w:szCs w:val="21"/>
              </w:rPr>
            </w:pPr>
            <w:r>
              <w:rPr>
                <w:szCs w:val="21"/>
              </w:rPr>
              <w:t>张贴安全警示标识</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.3.</w:t>
            </w:r>
            <w:r>
              <w:rPr>
                <w:rFonts w:hint="eastAsia"/>
                <w:kern w:val="0"/>
                <w:szCs w:val="21"/>
              </w:rPr>
              <w:t>4</w:t>
            </w:r>
          </w:p>
        </w:tc>
        <w:tc>
          <w:tcPr>
            <w:tcW w:w="5603" w:type="dxa"/>
            <w:vAlign w:val="top"/>
          </w:tcPr>
          <w:p>
            <w:pPr>
              <w:widowControl/>
              <w:spacing w:line="240" w:lineRule="exact"/>
              <w:rPr>
                <w:kern w:val="0"/>
                <w:szCs w:val="21"/>
              </w:rPr>
            </w:pPr>
            <w:r>
              <w:rPr>
                <w:szCs w:val="21"/>
              </w:rPr>
              <w:t>化学品、废弃物分类区域明确，规范放置</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.3.</w:t>
            </w:r>
            <w:r>
              <w:rPr>
                <w:rFonts w:hint="eastAsia"/>
                <w:kern w:val="0"/>
                <w:szCs w:val="21"/>
              </w:rPr>
              <w:t>5</w:t>
            </w:r>
          </w:p>
        </w:tc>
        <w:tc>
          <w:tcPr>
            <w:tcW w:w="5603" w:type="dxa"/>
            <w:vAlign w:val="top"/>
          </w:tcPr>
          <w:p>
            <w:pPr>
              <w:widowControl/>
              <w:spacing w:line="240" w:lineRule="exact"/>
              <w:rPr>
                <w:kern w:val="0"/>
                <w:szCs w:val="21"/>
              </w:rPr>
            </w:pPr>
            <w:r>
              <w:rPr>
                <w:szCs w:val="21"/>
              </w:rPr>
              <w:t>建立进出库台账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3</w:t>
            </w:r>
            <w:r>
              <w:rPr>
                <w:b/>
                <w:kern w:val="0"/>
                <w:szCs w:val="21"/>
              </w:rPr>
              <w:t>.4</w:t>
            </w:r>
          </w:p>
        </w:tc>
        <w:tc>
          <w:tcPr>
            <w:tcW w:w="8494" w:type="dxa"/>
            <w:gridSpan w:val="7"/>
            <w:vAlign w:val="center"/>
          </w:tcPr>
          <w:p>
            <w:pPr>
              <w:widowControl/>
              <w:spacing w:line="240" w:lineRule="exact"/>
              <w:jc w:val="left"/>
              <w:rPr>
                <w:b/>
                <w:bCs/>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3</w:t>
            </w:r>
            <w:r>
              <w:rPr>
                <w:kern w:val="0"/>
                <w:szCs w:val="21"/>
              </w:rPr>
              <w:t>.4.1</w:t>
            </w:r>
          </w:p>
        </w:tc>
        <w:tc>
          <w:tcPr>
            <w:tcW w:w="5603" w:type="dxa"/>
            <w:vAlign w:val="center"/>
          </w:tcPr>
          <w:p>
            <w:pPr>
              <w:widowControl/>
              <w:spacing w:line="240" w:lineRule="exact"/>
              <w:jc w:val="left"/>
              <w:rPr>
                <w:kern w:val="0"/>
                <w:szCs w:val="21"/>
              </w:rPr>
            </w:pPr>
            <w:r>
              <w:rPr>
                <w:kern w:val="0"/>
                <w:szCs w:val="21"/>
              </w:rPr>
              <w:t>楼层或实验室配备了急救药箱，药箱不上锁、药品在保质期内</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3</w:t>
            </w:r>
            <w:r>
              <w:rPr>
                <w:kern w:val="0"/>
                <w:szCs w:val="21"/>
              </w:rPr>
              <w:t>.4.2</w:t>
            </w:r>
          </w:p>
        </w:tc>
        <w:tc>
          <w:tcPr>
            <w:tcW w:w="5603" w:type="dxa"/>
            <w:vAlign w:val="center"/>
          </w:tcPr>
          <w:p>
            <w:pPr>
              <w:widowControl/>
              <w:spacing w:line="240" w:lineRule="exact"/>
              <w:jc w:val="left"/>
              <w:rPr>
                <w:kern w:val="0"/>
                <w:szCs w:val="21"/>
              </w:rPr>
            </w:pPr>
            <w:r>
              <w:rPr>
                <w:kern w:val="0"/>
                <w:szCs w:val="21"/>
              </w:rPr>
              <w:t>实验室内不放无关物品，如电动车、自行车等</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kern w:val="0"/>
                <w:szCs w:val="21"/>
              </w:rPr>
            </w:pPr>
            <w:r>
              <w:rPr>
                <w:rFonts w:hint="eastAsia"/>
                <w:kern w:val="0"/>
                <w:szCs w:val="21"/>
              </w:rPr>
              <w:t>3</w:t>
            </w:r>
            <w:r>
              <w:rPr>
                <w:kern w:val="0"/>
                <w:szCs w:val="21"/>
              </w:rPr>
              <w:t>.4.3</w:t>
            </w:r>
          </w:p>
        </w:tc>
        <w:tc>
          <w:tcPr>
            <w:tcW w:w="5603" w:type="dxa"/>
            <w:vAlign w:val="center"/>
          </w:tcPr>
          <w:p>
            <w:pPr>
              <w:widowControl/>
              <w:spacing w:line="240" w:lineRule="exact"/>
              <w:rPr>
                <w:kern w:val="0"/>
                <w:szCs w:val="21"/>
              </w:rPr>
            </w:pPr>
            <w:r>
              <w:rPr>
                <w:kern w:val="0"/>
                <w:szCs w:val="21"/>
              </w:rPr>
              <w:t>实验室内不存放或烧煮食物、饮食</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3</w:t>
            </w:r>
            <w:r>
              <w:rPr>
                <w:kern w:val="0"/>
                <w:szCs w:val="21"/>
              </w:rPr>
              <w:t>.4.4</w:t>
            </w:r>
          </w:p>
        </w:tc>
        <w:tc>
          <w:tcPr>
            <w:tcW w:w="5603" w:type="dxa"/>
            <w:vAlign w:val="center"/>
          </w:tcPr>
          <w:p>
            <w:pPr>
              <w:widowControl/>
              <w:spacing w:line="240" w:lineRule="exact"/>
              <w:jc w:val="left"/>
              <w:rPr>
                <w:kern w:val="0"/>
                <w:szCs w:val="21"/>
              </w:rPr>
            </w:pPr>
            <w:r>
              <w:rPr>
                <w:kern w:val="0"/>
                <w:szCs w:val="21"/>
              </w:rPr>
              <w:t>不在实验室内睡觉过夜</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3</w:t>
            </w:r>
            <w:r>
              <w:rPr>
                <w:kern w:val="0"/>
                <w:szCs w:val="21"/>
              </w:rPr>
              <w:t>.4.</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实验室内无吸烟现象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3</w:t>
            </w:r>
            <w:r>
              <w:rPr>
                <w:kern w:val="0"/>
                <w:szCs w:val="21"/>
              </w:rPr>
              <w:t>.4.6</w:t>
            </w:r>
          </w:p>
        </w:tc>
        <w:tc>
          <w:tcPr>
            <w:tcW w:w="5603" w:type="dxa"/>
            <w:vAlign w:val="center"/>
          </w:tcPr>
          <w:p>
            <w:pPr>
              <w:widowControl/>
              <w:spacing w:line="240" w:lineRule="exact"/>
              <w:jc w:val="left"/>
              <w:rPr>
                <w:kern w:val="0"/>
                <w:szCs w:val="21"/>
              </w:rPr>
            </w:pPr>
            <w:r>
              <w:rPr>
                <w:kern w:val="0"/>
                <w:szCs w:val="21"/>
              </w:rPr>
              <w:t>化学、生物类实验室不得使用可燃性蚊香。</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3</w:t>
            </w:r>
            <w:r>
              <w:rPr>
                <w:kern w:val="0"/>
                <w:szCs w:val="21"/>
              </w:rPr>
              <w:t>.4.7</w:t>
            </w:r>
          </w:p>
        </w:tc>
        <w:tc>
          <w:tcPr>
            <w:tcW w:w="5603" w:type="dxa"/>
            <w:vAlign w:val="center"/>
          </w:tcPr>
          <w:p>
            <w:pPr>
              <w:widowControl/>
              <w:spacing w:line="240" w:lineRule="exact"/>
              <w:jc w:val="left"/>
              <w:rPr>
                <w:kern w:val="0"/>
                <w:szCs w:val="21"/>
              </w:rPr>
            </w:pPr>
            <w:r>
              <w:rPr>
                <w:kern w:val="0"/>
                <w:szCs w:val="21"/>
              </w:rPr>
              <w:t>屋顶天花板安全固定</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4</w:t>
            </w:r>
          </w:p>
        </w:tc>
        <w:tc>
          <w:tcPr>
            <w:tcW w:w="8494" w:type="dxa"/>
            <w:gridSpan w:val="7"/>
            <w:vAlign w:val="center"/>
          </w:tcPr>
          <w:p>
            <w:pPr>
              <w:widowControl/>
              <w:spacing w:line="240" w:lineRule="exact"/>
              <w:jc w:val="left"/>
              <w:rPr>
                <w:b/>
                <w:bCs/>
                <w:kern w:val="0"/>
                <w:szCs w:val="21"/>
              </w:rPr>
            </w:pPr>
            <w:r>
              <w:rPr>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4</w:t>
            </w:r>
            <w:r>
              <w:rPr>
                <w:b/>
                <w:kern w:val="0"/>
                <w:szCs w:val="21"/>
              </w:rPr>
              <w:t>.1</w:t>
            </w:r>
          </w:p>
        </w:tc>
        <w:tc>
          <w:tcPr>
            <w:tcW w:w="8494" w:type="dxa"/>
            <w:gridSpan w:val="7"/>
            <w:vAlign w:val="center"/>
          </w:tcPr>
          <w:p>
            <w:pPr>
              <w:widowControl/>
              <w:spacing w:line="240" w:lineRule="exact"/>
              <w:jc w:val="left"/>
              <w:rPr>
                <w:b/>
                <w:bCs/>
                <w:kern w:val="0"/>
                <w:szCs w:val="21"/>
              </w:rPr>
            </w:pPr>
            <w:r>
              <w:rPr>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rFonts w:hint="eastAsia"/>
                <w:kern w:val="0"/>
                <w:szCs w:val="21"/>
              </w:rPr>
              <w:t>4</w:t>
            </w:r>
            <w:r>
              <w:rPr>
                <w:kern w:val="0"/>
                <w:szCs w:val="21"/>
              </w:rPr>
              <w:t>.1.1</w:t>
            </w:r>
          </w:p>
        </w:tc>
        <w:tc>
          <w:tcPr>
            <w:tcW w:w="5603" w:type="dxa"/>
            <w:vAlign w:val="center"/>
          </w:tcPr>
          <w:p>
            <w:pPr>
              <w:widowControl/>
              <w:spacing w:line="240" w:lineRule="exact"/>
              <w:jc w:val="left"/>
              <w:rPr>
                <w:kern w:val="0"/>
                <w:szCs w:val="21"/>
              </w:rPr>
            </w:pPr>
            <w:r>
              <w:rPr>
                <w:kern w:val="0"/>
                <w:szCs w:val="21"/>
              </w:rPr>
              <w:t>根据实验室情况配置相应的消防器材（烟感报警器、灭火器、灭火毯、消防栓、手动报警器、沙桶等），并正常有效</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4.1.2</w:t>
            </w:r>
          </w:p>
        </w:tc>
        <w:tc>
          <w:tcPr>
            <w:tcW w:w="5603" w:type="dxa"/>
            <w:vAlign w:val="center"/>
          </w:tcPr>
          <w:p>
            <w:pPr>
              <w:widowControl/>
              <w:spacing w:line="240" w:lineRule="exact"/>
              <w:jc w:val="left"/>
              <w:rPr>
                <w:kern w:val="0"/>
                <w:szCs w:val="21"/>
              </w:rPr>
            </w:pPr>
            <w:r>
              <w:rPr>
                <w:kern w:val="0"/>
                <w:szCs w:val="21"/>
              </w:rPr>
              <w:t>实验大楼有逃生线路指示图，并安装了应急指示灯</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4.1.3</w:t>
            </w:r>
          </w:p>
        </w:tc>
        <w:tc>
          <w:tcPr>
            <w:tcW w:w="5603" w:type="dxa"/>
            <w:vAlign w:val="center"/>
          </w:tcPr>
          <w:p>
            <w:pPr>
              <w:widowControl/>
              <w:spacing w:line="240" w:lineRule="exact"/>
              <w:jc w:val="left"/>
              <w:rPr>
                <w:kern w:val="0"/>
                <w:szCs w:val="21"/>
              </w:rPr>
            </w:pPr>
            <w:r>
              <w:rPr>
                <w:kern w:val="0"/>
                <w:szCs w:val="21"/>
              </w:rPr>
              <w:t>灭火器配备数量合理、种类合适，无过期现象，摆放位置利于取用</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4.1.4</w:t>
            </w:r>
          </w:p>
        </w:tc>
        <w:tc>
          <w:tcPr>
            <w:tcW w:w="5603" w:type="dxa"/>
            <w:vAlign w:val="center"/>
          </w:tcPr>
          <w:p>
            <w:pPr>
              <w:widowControl/>
              <w:spacing w:line="240" w:lineRule="exact"/>
              <w:jc w:val="left"/>
              <w:rPr>
                <w:kern w:val="0"/>
                <w:szCs w:val="21"/>
              </w:rPr>
            </w:pPr>
            <w:r>
              <w:rPr>
                <w:kern w:val="0"/>
                <w:szCs w:val="21"/>
              </w:rPr>
              <w:t>重点部位有防盗和监控设施，包括剧毒品、病原微生物和放射源存放点等</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4.2</w:t>
            </w:r>
          </w:p>
        </w:tc>
        <w:tc>
          <w:tcPr>
            <w:tcW w:w="8494" w:type="dxa"/>
            <w:gridSpan w:val="7"/>
            <w:vAlign w:val="center"/>
          </w:tcPr>
          <w:p>
            <w:pPr>
              <w:widowControl/>
              <w:spacing w:line="240" w:lineRule="exact"/>
              <w:jc w:val="left"/>
              <w:rPr>
                <w:b/>
                <w:bCs/>
                <w:kern w:val="0"/>
                <w:szCs w:val="21"/>
              </w:rPr>
            </w:pPr>
            <w:r>
              <w:rPr>
                <w:b/>
                <w:kern w:val="0"/>
                <w:szCs w:val="21"/>
              </w:rPr>
              <w:t>应急喷淋装置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4.2.1</w:t>
            </w:r>
          </w:p>
        </w:tc>
        <w:tc>
          <w:tcPr>
            <w:tcW w:w="5603" w:type="dxa"/>
            <w:vAlign w:val="center"/>
          </w:tcPr>
          <w:p>
            <w:pPr>
              <w:widowControl/>
              <w:spacing w:line="240" w:lineRule="exact"/>
              <w:jc w:val="left"/>
              <w:rPr>
                <w:kern w:val="0"/>
                <w:szCs w:val="21"/>
              </w:rPr>
            </w:pPr>
            <w:r>
              <w:rPr>
                <w:kern w:val="0"/>
                <w:szCs w:val="21"/>
              </w:rPr>
              <w:t>化学和生物类实验室有应急喷淋装置和洗眼装置，且正常有效并有巡检记录</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4.2.2</w:t>
            </w:r>
          </w:p>
        </w:tc>
        <w:tc>
          <w:tcPr>
            <w:tcW w:w="5603" w:type="dxa"/>
            <w:vAlign w:val="center"/>
          </w:tcPr>
          <w:p>
            <w:pPr>
              <w:widowControl/>
              <w:spacing w:line="240" w:lineRule="exact"/>
              <w:jc w:val="left"/>
              <w:rPr>
                <w:kern w:val="0"/>
                <w:szCs w:val="21"/>
              </w:rPr>
            </w:pPr>
            <w:r>
              <w:rPr>
                <w:kern w:val="0"/>
                <w:szCs w:val="21"/>
              </w:rPr>
              <w:t>应急喷淋装置水管总阀处常开状，喷头下方无障碍物</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4.2.3</w:t>
            </w:r>
          </w:p>
        </w:tc>
        <w:tc>
          <w:tcPr>
            <w:tcW w:w="5603" w:type="dxa"/>
            <w:vAlign w:val="center"/>
          </w:tcPr>
          <w:p>
            <w:pPr>
              <w:widowControl/>
              <w:spacing w:line="240" w:lineRule="exact"/>
              <w:jc w:val="left"/>
              <w:rPr>
                <w:kern w:val="0"/>
                <w:szCs w:val="21"/>
              </w:rPr>
            </w:pPr>
            <w:r>
              <w:rPr>
                <w:kern w:val="0"/>
                <w:szCs w:val="21"/>
              </w:rPr>
              <w:t>应急喷淋装置水压能保障出水畅通，洗眼装置的水压适中以保证一定的出水高度</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4.2.4</w:t>
            </w:r>
          </w:p>
        </w:tc>
        <w:tc>
          <w:tcPr>
            <w:tcW w:w="5603" w:type="dxa"/>
            <w:vAlign w:val="center"/>
          </w:tcPr>
          <w:p>
            <w:pPr>
              <w:widowControl/>
              <w:spacing w:line="240" w:lineRule="exact"/>
              <w:jc w:val="left"/>
              <w:rPr>
                <w:kern w:val="0"/>
                <w:szCs w:val="21"/>
              </w:rPr>
            </w:pPr>
            <w:r>
              <w:rPr>
                <w:szCs w:val="21"/>
              </w:rPr>
              <w:t>实验室内有毛巾或毛巾毯并置于应急喷淋装置附近，随时可用</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4.3</w:t>
            </w:r>
          </w:p>
        </w:tc>
        <w:tc>
          <w:tcPr>
            <w:tcW w:w="8494" w:type="dxa"/>
            <w:gridSpan w:val="7"/>
            <w:vAlign w:val="center"/>
          </w:tcPr>
          <w:p>
            <w:pPr>
              <w:widowControl/>
              <w:spacing w:line="240" w:lineRule="exact"/>
              <w:jc w:val="left"/>
              <w:rPr>
                <w:b/>
                <w:bCs/>
                <w:kern w:val="0"/>
                <w:szCs w:val="21"/>
              </w:rPr>
            </w:pPr>
            <w:r>
              <w:rPr>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4.3.1</w:t>
            </w:r>
          </w:p>
        </w:tc>
        <w:tc>
          <w:tcPr>
            <w:tcW w:w="5603" w:type="dxa"/>
            <w:vAlign w:val="center"/>
          </w:tcPr>
          <w:p>
            <w:pPr>
              <w:widowControl/>
              <w:spacing w:line="240" w:lineRule="exact"/>
              <w:jc w:val="left"/>
              <w:rPr>
                <w:kern w:val="0"/>
                <w:szCs w:val="21"/>
              </w:rPr>
            </w:pPr>
            <w:r>
              <w:rPr>
                <w:kern w:val="0"/>
                <w:szCs w:val="21"/>
              </w:rPr>
              <w:t>配备符合要求的通风系统；对于排放有毒有味废气体的实验室，有吸收过滤装置</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4.3.2</w:t>
            </w:r>
          </w:p>
        </w:tc>
        <w:tc>
          <w:tcPr>
            <w:tcW w:w="5603" w:type="dxa"/>
            <w:vAlign w:val="center"/>
          </w:tcPr>
          <w:p>
            <w:pPr>
              <w:widowControl/>
              <w:spacing w:line="240" w:lineRule="exact"/>
              <w:jc w:val="left"/>
              <w:rPr>
                <w:kern w:val="0"/>
                <w:szCs w:val="21"/>
              </w:rPr>
            </w:pPr>
            <w:r>
              <w:rPr>
                <w:kern w:val="0"/>
                <w:szCs w:val="21"/>
              </w:rPr>
              <w:t>通风系统运行正常，有风速测定等维护、检修记录</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4.3.3</w:t>
            </w:r>
          </w:p>
        </w:tc>
        <w:tc>
          <w:tcPr>
            <w:tcW w:w="5603" w:type="dxa"/>
            <w:vAlign w:val="center"/>
          </w:tcPr>
          <w:p>
            <w:pPr>
              <w:widowControl/>
              <w:spacing w:line="240" w:lineRule="exact"/>
              <w:jc w:val="left"/>
              <w:rPr>
                <w:kern w:val="0"/>
                <w:szCs w:val="21"/>
              </w:rPr>
            </w:pPr>
            <w:r>
              <w:rPr>
                <w:kern w:val="0"/>
                <w:szCs w:val="21"/>
              </w:rPr>
              <w:t>换气扇使用正常</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4.3.4</w:t>
            </w:r>
          </w:p>
        </w:tc>
        <w:tc>
          <w:tcPr>
            <w:tcW w:w="5603" w:type="dxa"/>
            <w:vAlign w:val="center"/>
          </w:tcPr>
          <w:p>
            <w:pPr>
              <w:widowControl/>
              <w:spacing w:line="240" w:lineRule="exact"/>
              <w:jc w:val="left"/>
              <w:rPr>
                <w:kern w:val="0"/>
                <w:szCs w:val="21"/>
              </w:rPr>
            </w:pPr>
            <w:r>
              <w:rPr>
                <w:kern w:val="0"/>
                <w:szCs w:val="21"/>
              </w:rPr>
              <w:t>屋顶风机固定无松动、无异常噪声</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4.3.</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使用可燃气体场所应采用防爆通风机</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5</w:t>
            </w:r>
          </w:p>
        </w:tc>
        <w:tc>
          <w:tcPr>
            <w:tcW w:w="8494" w:type="dxa"/>
            <w:gridSpan w:val="7"/>
            <w:vAlign w:val="center"/>
          </w:tcPr>
          <w:p>
            <w:pPr>
              <w:widowControl/>
              <w:spacing w:line="240" w:lineRule="exact"/>
              <w:jc w:val="left"/>
              <w:rPr>
                <w:b/>
                <w:bCs/>
                <w:kern w:val="0"/>
                <w:szCs w:val="21"/>
              </w:rPr>
            </w:pPr>
            <w:r>
              <w:rPr>
                <w:b/>
                <w:kern w:val="0"/>
                <w:szCs w:val="21"/>
              </w:rPr>
              <w:t>水电安全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5.1</w:t>
            </w:r>
          </w:p>
        </w:tc>
        <w:tc>
          <w:tcPr>
            <w:tcW w:w="8494" w:type="dxa"/>
            <w:gridSpan w:val="7"/>
            <w:vAlign w:val="center"/>
          </w:tcPr>
          <w:p>
            <w:pPr>
              <w:widowControl/>
              <w:spacing w:line="240" w:lineRule="exact"/>
              <w:jc w:val="left"/>
              <w:rPr>
                <w:b/>
                <w:bCs/>
                <w:kern w:val="0"/>
                <w:szCs w:val="21"/>
              </w:rPr>
            </w:pPr>
            <w:r>
              <w:rPr>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5.1.1</w:t>
            </w:r>
          </w:p>
        </w:tc>
        <w:tc>
          <w:tcPr>
            <w:tcW w:w="5603" w:type="dxa"/>
            <w:vAlign w:val="center"/>
          </w:tcPr>
          <w:p>
            <w:pPr>
              <w:widowControl/>
              <w:spacing w:line="240" w:lineRule="exact"/>
              <w:jc w:val="left"/>
              <w:rPr>
                <w:kern w:val="0"/>
                <w:szCs w:val="21"/>
              </w:rPr>
            </w:pPr>
            <w:r>
              <w:rPr>
                <w:kern w:val="0"/>
                <w:szCs w:val="21"/>
              </w:rPr>
              <w:t>插头插座功率需匹配，无私自改装现象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5.1.2</w:t>
            </w:r>
          </w:p>
        </w:tc>
        <w:tc>
          <w:tcPr>
            <w:tcW w:w="5603" w:type="dxa"/>
            <w:vAlign w:val="center"/>
          </w:tcPr>
          <w:p>
            <w:pPr>
              <w:widowControl/>
              <w:spacing w:line="240" w:lineRule="exact"/>
              <w:jc w:val="left"/>
              <w:rPr>
                <w:kern w:val="0"/>
                <w:szCs w:val="21"/>
              </w:rPr>
            </w:pPr>
            <w:r>
              <w:rPr>
                <w:kern w:val="0"/>
                <w:szCs w:val="21"/>
              </w:rPr>
              <w:t>不乱拉乱接电线，无电线老化、使用花线和木质配电板的现象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5.1.3</w:t>
            </w:r>
          </w:p>
        </w:tc>
        <w:tc>
          <w:tcPr>
            <w:tcW w:w="5603" w:type="dxa"/>
            <w:vAlign w:val="center"/>
          </w:tcPr>
          <w:p>
            <w:pPr>
              <w:widowControl/>
              <w:spacing w:line="240" w:lineRule="exact"/>
              <w:jc w:val="left"/>
              <w:rPr>
                <w:kern w:val="0"/>
                <w:szCs w:val="21"/>
              </w:rPr>
            </w:pPr>
            <w:r>
              <w:rPr>
                <w:kern w:val="0"/>
                <w:szCs w:val="21"/>
              </w:rPr>
              <w:t>多个大功率仪器不使用同一个接线板</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5.1.4</w:t>
            </w:r>
          </w:p>
        </w:tc>
        <w:tc>
          <w:tcPr>
            <w:tcW w:w="5603" w:type="dxa"/>
            <w:vAlign w:val="center"/>
          </w:tcPr>
          <w:p>
            <w:pPr>
              <w:widowControl/>
              <w:spacing w:line="240" w:lineRule="exact"/>
              <w:jc w:val="left"/>
              <w:rPr>
                <w:kern w:val="0"/>
                <w:szCs w:val="21"/>
              </w:rPr>
            </w:pPr>
            <w:r>
              <w:rPr>
                <w:kern w:val="0"/>
                <w:szCs w:val="21"/>
              </w:rPr>
              <w:t>不能多个接线板串联、接线板不直接放在地面</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无电源插座未固定、插座插头破损现象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w:t>
            </w:r>
            <w:r>
              <w:rPr>
                <w:rFonts w:hint="eastAsia"/>
                <w:kern w:val="0"/>
                <w:szCs w:val="21"/>
              </w:rPr>
              <w:t>6</w:t>
            </w:r>
          </w:p>
        </w:tc>
        <w:tc>
          <w:tcPr>
            <w:tcW w:w="5603" w:type="dxa"/>
            <w:vAlign w:val="center"/>
          </w:tcPr>
          <w:p>
            <w:pPr>
              <w:widowControl/>
              <w:spacing w:line="240" w:lineRule="exact"/>
              <w:jc w:val="left"/>
              <w:rPr>
                <w:kern w:val="0"/>
                <w:szCs w:val="21"/>
              </w:rPr>
            </w:pPr>
            <w:r>
              <w:rPr>
                <w:kern w:val="0"/>
                <w:szCs w:val="21"/>
              </w:rPr>
              <w:t>大功率仪器（包括空调等）有专用插座，用电负荷满足要求；长期不用时，应拔出电源插头</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5.1.7</w:t>
            </w:r>
          </w:p>
        </w:tc>
        <w:tc>
          <w:tcPr>
            <w:tcW w:w="5603" w:type="dxa"/>
            <w:vAlign w:val="center"/>
          </w:tcPr>
          <w:p>
            <w:pPr>
              <w:widowControl/>
              <w:spacing w:line="240" w:lineRule="exact"/>
              <w:jc w:val="left"/>
              <w:rPr>
                <w:kern w:val="0"/>
                <w:szCs w:val="21"/>
              </w:rPr>
            </w:pPr>
            <w:r>
              <w:rPr>
                <w:kern w:val="0"/>
                <w:szCs w:val="21"/>
              </w:rPr>
              <w:t>无人状态下，充电器（宝）不能充电过夜</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5.1.8</w:t>
            </w:r>
          </w:p>
        </w:tc>
        <w:tc>
          <w:tcPr>
            <w:tcW w:w="5603" w:type="dxa"/>
            <w:vAlign w:val="center"/>
          </w:tcPr>
          <w:p>
            <w:pPr>
              <w:widowControl/>
              <w:spacing w:line="240" w:lineRule="exact"/>
              <w:jc w:val="left"/>
              <w:rPr>
                <w:kern w:val="0"/>
                <w:szCs w:val="21"/>
              </w:rPr>
            </w:pPr>
            <w:r>
              <w:rPr>
                <w:kern w:val="0"/>
                <w:szCs w:val="21"/>
              </w:rPr>
              <w:t>水槽边不安装电源插座，如确实需要，应有防护挡板或防护罩</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5.1.9</w:t>
            </w:r>
          </w:p>
        </w:tc>
        <w:tc>
          <w:tcPr>
            <w:tcW w:w="5603" w:type="dxa"/>
            <w:vAlign w:val="center"/>
          </w:tcPr>
          <w:p>
            <w:pPr>
              <w:widowControl/>
              <w:spacing w:line="240" w:lineRule="exact"/>
              <w:jc w:val="left"/>
              <w:rPr>
                <w:kern w:val="0"/>
                <w:szCs w:val="21"/>
              </w:rPr>
            </w:pPr>
            <w:r>
              <w:rPr>
                <w:kern w:val="0"/>
                <w:szCs w:val="21"/>
              </w:rPr>
              <w:t>实验室和电气设备配备空气开关和漏电保护器</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5.1.10</w:t>
            </w:r>
          </w:p>
        </w:tc>
        <w:tc>
          <w:tcPr>
            <w:tcW w:w="5603" w:type="dxa"/>
            <w:vAlign w:val="center"/>
          </w:tcPr>
          <w:p>
            <w:pPr>
              <w:widowControl/>
              <w:spacing w:line="240" w:lineRule="exact"/>
              <w:jc w:val="left"/>
              <w:rPr>
                <w:kern w:val="0"/>
                <w:szCs w:val="21"/>
              </w:rPr>
            </w:pPr>
            <w:r>
              <w:rPr>
                <w:kern w:val="0"/>
                <w:szCs w:val="21"/>
              </w:rPr>
              <w:t>电线接头绝缘可靠，无裸露连接线，地板上的导线应有盖板或护套</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5.1.11</w:t>
            </w:r>
          </w:p>
        </w:tc>
        <w:tc>
          <w:tcPr>
            <w:tcW w:w="5603" w:type="dxa"/>
            <w:vAlign w:val="center"/>
          </w:tcPr>
          <w:p>
            <w:pPr>
              <w:widowControl/>
              <w:spacing w:line="240" w:lineRule="exact"/>
              <w:jc w:val="left"/>
              <w:rPr>
                <w:kern w:val="0"/>
                <w:szCs w:val="21"/>
              </w:rPr>
            </w:pPr>
            <w:r>
              <w:rPr>
                <w:kern w:val="0"/>
                <w:szCs w:val="21"/>
              </w:rPr>
              <w:t>加热器采用耐高温阻燃导线</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5.1.12</w:t>
            </w:r>
          </w:p>
        </w:tc>
        <w:tc>
          <w:tcPr>
            <w:tcW w:w="5603" w:type="dxa"/>
            <w:vAlign w:val="center"/>
          </w:tcPr>
          <w:p>
            <w:pPr>
              <w:widowControl/>
              <w:spacing w:line="240" w:lineRule="exact"/>
              <w:jc w:val="left"/>
              <w:rPr>
                <w:kern w:val="0"/>
                <w:szCs w:val="21"/>
              </w:rPr>
            </w:pPr>
            <w:r>
              <w:rPr>
                <w:kern w:val="0"/>
                <w:szCs w:val="21"/>
              </w:rPr>
              <w:t>配电柜/箱无物品遮挡并便于操作</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5.2</w:t>
            </w:r>
          </w:p>
        </w:tc>
        <w:tc>
          <w:tcPr>
            <w:tcW w:w="8494" w:type="dxa"/>
            <w:gridSpan w:val="7"/>
            <w:vAlign w:val="center"/>
          </w:tcPr>
          <w:p>
            <w:pPr>
              <w:widowControl/>
              <w:spacing w:line="240" w:lineRule="exact"/>
              <w:jc w:val="left"/>
              <w:rPr>
                <w:b/>
                <w:bCs/>
                <w:kern w:val="0"/>
                <w:szCs w:val="21"/>
              </w:rPr>
            </w:pPr>
            <w:r>
              <w:rPr>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5.2.1</w:t>
            </w:r>
          </w:p>
        </w:tc>
        <w:tc>
          <w:tcPr>
            <w:tcW w:w="5603" w:type="dxa"/>
            <w:vAlign w:val="center"/>
          </w:tcPr>
          <w:p>
            <w:pPr>
              <w:widowControl/>
              <w:spacing w:line="240" w:lineRule="exact"/>
              <w:jc w:val="left"/>
              <w:rPr>
                <w:kern w:val="0"/>
                <w:szCs w:val="21"/>
              </w:rPr>
            </w:pPr>
            <w:r>
              <w:rPr>
                <w:kern w:val="0"/>
                <w:szCs w:val="21"/>
              </w:rPr>
              <w:t>下水道畅通，不存在水龙头、水管破损现象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5.2.2</w:t>
            </w:r>
          </w:p>
        </w:tc>
        <w:tc>
          <w:tcPr>
            <w:tcW w:w="5603" w:type="dxa"/>
            <w:vAlign w:val="center"/>
          </w:tcPr>
          <w:p>
            <w:pPr>
              <w:widowControl/>
              <w:spacing w:line="240" w:lineRule="exact"/>
              <w:jc w:val="left"/>
              <w:rPr>
                <w:kern w:val="0"/>
                <w:szCs w:val="21"/>
              </w:rPr>
            </w:pPr>
            <w:r>
              <w:rPr>
                <w:kern w:val="0"/>
                <w:szCs w:val="21"/>
              </w:rPr>
              <w:t>各类链接管无老化破损现象（特别是冷却冷凝系统的橡胶管接口处）</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5.2.3</w:t>
            </w:r>
          </w:p>
        </w:tc>
        <w:tc>
          <w:tcPr>
            <w:tcW w:w="5603" w:type="dxa"/>
            <w:vAlign w:val="center"/>
          </w:tcPr>
          <w:p>
            <w:pPr>
              <w:widowControl/>
              <w:spacing w:line="240" w:lineRule="exact"/>
              <w:jc w:val="left"/>
              <w:rPr>
                <w:kern w:val="0"/>
                <w:szCs w:val="21"/>
              </w:rPr>
            </w:pPr>
            <w:r>
              <w:rPr>
                <w:kern w:val="0"/>
                <w:szCs w:val="21"/>
              </w:rPr>
              <w:t>无自来水龙头开着时人离开的现象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6</w:t>
            </w:r>
          </w:p>
        </w:tc>
        <w:tc>
          <w:tcPr>
            <w:tcW w:w="8494" w:type="dxa"/>
            <w:gridSpan w:val="7"/>
            <w:vAlign w:val="center"/>
          </w:tcPr>
          <w:p>
            <w:pPr>
              <w:widowControl/>
              <w:spacing w:line="240" w:lineRule="exact"/>
              <w:jc w:val="left"/>
              <w:rPr>
                <w:b/>
                <w:bCs/>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rFonts w:hint="eastAsia"/>
                <w:b/>
                <w:kern w:val="0"/>
                <w:szCs w:val="21"/>
              </w:rPr>
              <w:t>6</w:t>
            </w:r>
            <w:r>
              <w:rPr>
                <w:b/>
                <w:kern w:val="0"/>
                <w:szCs w:val="21"/>
              </w:rPr>
              <w:t>.1</w:t>
            </w:r>
          </w:p>
        </w:tc>
        <w:tc>
          <w:tcPr>
            <w:tcW w:w="8494" w:type="dxa"/>
            <w:gridSpan w:val="7"/>
            <w:vAlign w:val="center"/>
          </w:tcPr>
          <w:p>
            <w:pPr>
              <w:widowControl/>
              <w:spacing w:line="240" w:lineRule="exact"/>
              <w:jc w:val="left"/>
              <w:rPr>
                <w:b/>
                <w:bCs/>
                <w:kern w:val="0"/>
                <w:szCs w:val="21"/>
              </w:rPr>
            </w:pP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6.1.1</w:t>
            </w:r>
          </w:p>
        </w:tc>
        <w:tc>
          <w:tcPr>
            <w:tcW w:w="5603" w:type="dxa"/>
            <w:vAlign w:val="center"/>
          </w:tcPr>
          <w:p>
            <w:pPr>
              <w:widowControl/>
              <w:spacing w:line="240" w:lineRule="exact"/>
              <w:rPr>
                <w:b/>
                <w:kern w:val="0"/>
                <w:szCs w:val="21"/>
              </w:rPr>
            </w:pPr>
            <w:r>
              <w:rPr>
                <w:kern w:val="0"/>
                <w:szCs w:val="21"/>
              </w:rPr>
              <w:t>有房间内化学品的动态台帐</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6.1.2</w:t>
            </w:r>
          </w:p>
        </w:tc>
        <w:tc>
          <w:tcPr>
            <w:tcW w:w="5603" w:type="dxa"/>
            <w:vAlign w:val="center"/>
          </w:tcPr>
          <w:p>
            <w:pPr>
              <w:widowControl/>
              <w:spacing w:line="240" w:lineRule="exact"/>
              <w:jc w:val="left"/>
              <w:rPr>
                <w:kern w:val="0"/>
                <w:szCs w:val="21"/>
              </w:rPr>
            </w:pPr>
            <w:r>
              <w:rPr>
                <w:kern w:val="0"/>
                <w:szCs w:val="21"/>
              </w:rPr>
              <w:t>有序分类存放（柜子门上粘贴清单），放置位置便于查找取用</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6.1.3</w:t>
            </w:r>
          </w:p>
        </w:tc>
        <w:tc>
          <w:tcPr>
            <w:tcW w:w="5603" w:type="dxa"/>
            <w:vAlign w:val="center"/>
          </w:tcPr>
          <w:p>
            <w:pPr>
              <w:widowControl/>
              <w:spacing w:line="240" w:lineRule="exact"/>
              <w:jc w:val="left"/>
              <w:rPr>
                <w:kern w:val="0"/>
                <w:szCs w:val="21"/>
              </w:rPr>
            </w:pPr>
            <w:r>
              <w:rPr>
                <w:kern w:val="0"/>
                <w:szCs w:val="21"/>
              </w:rPr>
              <w:t>强酸与强碱、氧化剂与还原剂等分开存放</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6.1.4</w:t>
            </w:r>
          </w:p>
        </w:tc>
        <w:tc>
          <w:tcPr>
            <w:tcW w:w="5603" w:type="dxa"/>
            <w:vAlign w:val="center"/>
          </w:tcPr>
          <w:p>
            <w:pPr>
              <w:widowControl/>
              <w:spacing w:line="240" w:lineRule="exact"/>
              <w:jc w:val="left"/>
              <w:rPr>
                <w:kern w:val="0"/>
                <w:szCs w:val="21"/>
              </w:rPr>
            </w:pPr>
            <w:r>
              <w:rPr>
                <w:kern w:val="0"/>
                <w:szCs w:val="21"/>
              </w:rPr>
              <w:t>固体与液体分开存放（如在同一试剂柜中，液体需放置在下层）</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化学品不存在叠放现象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6.1.6</w:t>
            </w:r>
          </w:p>
        </w:tc>
        <w:tc>
          <w:tcPr>
            <w:tcW w:w="5603" w:type="dxa"/>
            <w:vAlign w:val="center"/>
          </w:tcPr>
          <w:p>
            <w:pPr>
              <w:widowControl/>
              <w:spacing w:line="240" w:lineRule="exact"/>
              <w:jc w:val="left"/>
              <w:rPr>
                <w:kern w:val="0"/>
                <w:szCs w:val="21"/>
              </w:rPr>
            </w:pPr>
            <w:r>
              <w:rPr>
                <w:kern w:val="0"/>
                <w:szCs w:val="21"/>
              </w:rPr>
              <w:t>腐蚀溶剂配有托盘类的二次泄漏防护容器</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6.1.7</w:t>
            </w:r>
          </w:p>
        </w:tc>
        <w:tc>
          <w:tcPr>
            <w:tcW w:w="5603" w:type="dxa"/>
            <w:vAlign w:val="center"/>
          </w:tcPr>
          <w:p>
            <w:pPr>
              <w:widowControl/>
              <w:spacing w:line="240" w:lineRule="exact"/>
              <w:jc w:val="left"/>
              <w:rPr>
                <w:kern w:val="0"/>
                <w:szCs w:val="21"/>
              </w:rPr>
            </w:pPr>
            <w:r>
              <w:rPr>
                <w:kern w:val="0"/>
                <w:szCs w:val="21"/>
              </w:rPr>
              <w:t>化学试剂标签无脱落、模糊现象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6.1.8</w:t>
            </w:r>
          </w:p>
        </w:tc>
        <w:tc>
          <w:tcPr>
            <w:tcW w:w="5603" w:type="dxa"/>
            <w:vAlign w:val="center"/>
          </w:tcPr>
          <w:p>
            <w:pPr>
              <w:widowControl/>
              <w:spacing w:line="240" w:lineRule="exact"/>
              <w:jc w:val="left"/>
              <w:rPr>
                <w:kern w:val="0"/>
                <w:szCs w:val="21"/>
              </w:rPr>
            </w:pPr>
            <w:r>
              <w:rPr>
                <w:kern w:val="0"/>
                <w:szCs w:val="21"/>
              </w:rPr>
              <w:t>存放点通风、隔热、避光、安全；有机溶剂远离热源</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6.1.9</w:t>
            </w:r>
          </w:p>
        </w:tc>
        <w:tc>
          <w:tcPr>
            <w:tcW w:w="5603" w:type="dxa"/>
            <w:vAlign w:val="center"/>
          </w:tcPr>
          <w:p>
            <w:pPr>
              <w:widowControl/>
              <w:spacing w:line="240" w:lineRule="exact"/>
              <w:jc w:val="left"/>
              <w:rPr>
                <w:kern w:val="0"/>
                <w:szCs w:val="21"/>
              </w:rPr>
            </w:pPr>
            <w:r>
              <w:rPr>
                <w:kern w:val="0"/>
                <w:szCs w:val="21"/>
              </w:rPr>
              <w:t>无存放大桶试剂现象、无大量存放化学试剂现象（用量较大的试剂存量应控制在一周计划用量之内）</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6.1.10</w:t>
            </w:r>
          </w:p>
        </w:tc>
        <w:tc>
          <w:tcPr>
            <w:tcW w:w="5603" w:type="dxa"/>
            <w:vAlign w:val="center"/>
          </w:tcPr>
          <w:p>
            <w:pPr>
              <w:widowControl/>
              <w:spacing w:line="240" w:lineRule="exact"/>
              <w:jc w:val="left"/>
              <w:rPr>
                <w:kern w:val="0"/>
                <w:szCs w:val="21"/>
              </w:rPr>
            </w:pPr>
            <w:r>
              <w:rPr>
                <w:kern w:val="0"/>
                <w:szCs w:val="21"/>
              </w:rPr>
              <w:t>如单个实验装置存在10L以上甲类物质储罐，或20L以上乙类物质储罐，或40L以上丙类物质储罐，需加装泄露报警器及通风联动装置</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6.1.11</w:t>
            </w:r>
          </w:p>
        </w:tc>
        <w:tc>
          <w:tcPr>
            <w:tcW w:w="5603" w:type="dxa"/>
            <w:vAlign w:val="center"/>
          </w:tcPr>
          <w:p>
            <w:pPr>
              <w:widowControl/>
              <w:spacing w:line="240" w:lineRule="exact"/>
              <w:jc w:val="left"/>
              <w:rPr>
                <w:kern w:val="0"/>
                <w:szCs w:val="21"/>
              </w:rPr>
            </w:pPr>
            <w:r>
              <w:rPr>
                <w:kern w:val="0"/>
                <w:szCs w:val="21"/>
              </w:rPr>
              <w:t>过期药品定期清理，无过期药品累积</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6.1.12</w:t>
            </w:r>
          </w:p>
        </w:tc>
        <w:tc>
          <w:tcPr>
            <w:tcW w:w="5603" w:type="dxa"/>
            <w:vAlign w:val="center"/>
          </w:tcPr>
          <w:p>
            <w:pPr>
              <w:widowControl/>
              <w:spacing w:line="240" w:lineRule="exact"/>
              <w:jc w:val="left"/>
              <w:rPr>
                <w:kern w:val="0"/>
                <w:szCs w:val="21"/>
              </w:rPr>
            </w:pPr>
            <w:r>
              <w:rPr>
                <w:kern w:val="0"/>
                <w:szCs w:val="21"/>
              </w:rPr>
              <w:t>无试剂瓶开口放置现象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6.1.13</w:t>
            </w:r>
          </w:p>
        </w:tc>
        <w:tc>
          <w:tcPr>
            <w:tcW w:w="5603" w:type="dxa"/>
            <w:vAlign w:val="center"/>
          </w:tcPr>
          <w:p>
            <w:pPr>
              <w:widowControl/>
              <w:spacing w:line="240" w:lineRule="exact"/>
              <w:jc w:val="left"/>
              <w:rPr>
                <w:kern w:val="0"/>
                <w:szCs w:val="21"/>
              </w:rPr>
            </w:pPr>
            <w:r>
              <w:rPr>
                <w:kern w:val="0"/>
                <w:szCs w:val="21"/>
              </w:rPr>
              <w:t>易泄漏、挥发的试剂应存放在具有通风、吸附功能的试剂柜内</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6.2</w:t>
            </w:r>
          </w:p>
        </w:tc>
        <w:tc>
          <w:tcPr>
            <w:tcW w:w="8494" w:type="dxa"/>
            <w:gridSpan w:val="7"/>
            <w:vAlign w:val="center"/>
          </w:tcPr>
          <w:p>
            <w:pPr>
              <w:widowControl/>
              <w:spacing w:line="240" w:lineRule="exact"/>
              <w:jc w:val="left"/>
              <w:rPr>
                <w:b/>
                <w:bCs/>
                <w:kern w:val="0"/>
                <w:szCs w:val="21"/>
              </w:rPr>
            </w:pPr>
            <w:r>
              <w:rPr>
                <w:b/>
                <w:kern w:val="0"/>
                <w:szCs w:val="21"/>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6.2.1</w:t>
            </w:r>
          </w:p>
        </w:tc>
        <w:tc>
          <w:tcPr>
            <w:tcW w:w="5603" w:type="dxa"/>
            <w:vAlign w:val="center"/>
          </w:tcPr>
          <w:p>
            <w:pPr>
              <w:widowControl/>
              <w:spacing w:line="240" w:lineRule="exact"/>
              <w:jc w:val="left"/>
              <w:rPr>
                <w:kern w:val="0"/>
                <w:szCs w:val="21"/>
              </w:rPr>
            </w:pPr>
            <w:r>
              <w:rPr>
                <w:kern w:val="0"/>
                <w:szCs w:val="21"/>
              </w:rPr>
              <w:t>剧毒品购买前须经公安部门审批，并凭证向具有经营许可资质的单位购买</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6.2.2</w:t>
            </w:r>
          </w:p>
        </w:tc>
        <w:tc>
          <w:tcPr>
            <w:tcW w:w="5603" w:type="dxa"/>
            <w:vAlign w:val="center"/>
          </w:tcPr>
          <w:p>
            <w:pPr>
              <w:widowControl/>
              <w:spacing w:line="240" w:lineRule="exact"/>
              <w:jc w:val="left"/>
              <w:rPr>
                <w:kern w:val="0"/>
                <w:szCs w:val="21"/>
              </w:rPr>
            </w:pPr>
            <w:r>
              <w:rPr>
                <w:kern w:val="0"/>
                <w:szCs w:val="21"/>
              </w:rPr>
              <w:t>校职能部门负责校内审批，并保留资料、建立档案</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6.2.3</w:t>
            </w:r>
          </w:p>
        </w:tc>
        <w:tc>
          <w:tcPr>
            <w:tcW w:w="5603" w:type="dxa"/>
            <w:vAlign w:val="center"/>
          </w:tcPr>
          <w:p>
            <w:pPr>
              <w:widowControl/>
              <w:spacing w:line="240" w:lineRule="exact"/>
              <w:jc w:val="left"/>
              <w:rPr>
                <w:kern w:val="0"/>
                <w:szCs w:val="21"/>
              </w:rPr>
            </w:pPr>
            <w:r>
              <w:rPr>
                <w:kern w:val="0"/>
                <w:szCs w:val="21"/>
              </w:rPr>
              <w:t>配备专门的保险柜并固定，实行双人双锁保管（只有2名分别掌管了钥匙和密码的保管人同时到场时才能开启保险柜），需配备报警及监控设备</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6.2.4</w:t>
            </w:r>
          </w:p>
        </w:tc>
        <w:tc>
          <w:tcPr>
            <w:tcW w:w="5603" w:type="dxa"/>
            <w:vAlign w:val="center"/>
          </w:tcPr>
          <w:p>
            <w:pPr>
              <w:widowControl/>
              <w:spacing w:line="240" w:lineRule="exact"/>
              <w:jc w:val="left"/>
              <w:rPr>
                <w:kern w:val="0"/>
                <w:szCs w:val="21"/>
              </w:rPr>
            </w:pPr>
            <w:r>
              <w:rPr>
                <w:kern w:val="0"/>
                <w:szCs w:val="21"/>
              </w:rPr>
              <w:t>对于具有高挥发性、低闪点的剧毒品应存放在具有防爆功能的冰箱内，并配备双锁，实行双人双锁保管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6.2.</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执行双人收发、双人运输，有记录</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6.2.6</w:t>
            </w:r>
          </w:p>
        </w:tc>
        <w:tc>
          <w:tcPr>
            <w:tcW w:w="5603" w:type="dxa"/>
            <w:vAlign w:val="center"/>
          </w:tcPr>
          <w:p>
            <w:pPr>
              <w:widowControl/>
              <w:spacing w:line="240" w:lineRule="exact"/>
              <w:jc w:val="left"/>
              <w:rPr>
                <w:kern w:val="0"/>
                <w:szCs w:val="21"/>
              </w:rPr>
            </w:pPr>
            <w:r>
              <w:rPr>
                <w:kern w:val="0"/>
                <w:szCs w:val="21"/>
              </w:rPr>
              <w:t>使用时有两人同时在场，且计量取用后立即放回保险柜，并做好记录（双人签字）</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6.2.7</w:t>
            </w:r>
          </w:p>
        </w:tc>
        <w:tc>
          <w:tcPr>
            <w:tcW w:w="5603" w:type="dxa"/>
            <w:vAlign w:val="center"/>
          </w:tcPr>
          <w:p>
            <w:pPr>
              <w:widowControl/>
              <w:spacing w:line="240" w:lineRule="exact"/>
              <w:jc w:val="left"/>
              <w:rPr>
                <w:kern w:val="0"/>
                <w:szCs w:val="21"/>
              </w:rPr>
            </w:pPr>
            <w:r>
              <w:rPr>
                <w:kern w:val="0"/>
                <w:szCs w:val="21"/>
              </w:rPr>
              <w:t>有规范的剧毒品处置方法，双人签字记录</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6.2.8</w:t>
            </w:r>
          </w:p>
        </w:tc>
        <w:tc>
          <w:tcPr>
            <w:tcW w:w="5603" w:type="dxa"/>
            <w:vAlign w:val="center"/>
          </w:tcPr>
          <w:p>
            <w:pPr>
              <w:widowControl/>
              <w:spacing w:line="240" w:lineRule="exact"/>
              <w:jc w:val="left"/>
              <w:rPr>
                <w:kern w:val="0"/>
                <w:szCs w:val="21"/>
              </w:rPr>
            </w:pPr>
            <w:r>
              <w:rPr>
                <w:kern w:val="0"/>
                <w:szCs w:val="21"/>
              </w:rPr>
              <w:t>按有关规定对残余、废弃的剧毒品或空瓶进行处置</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6.2.9</w:t>
            </w:r>
          </w:p>
        </w:tc>
        <w:tc>
          <w:tcPr>
            <w:tcW w:w="5603" w:type="dxa"/>
            <w:vAlign w:val="center"/>
          </w:tcPr>
          <w:p>
            <w:pPr>
              <w:widowControl/>
              <w:spacing w:line="240" w:lineRule="exact"/>
              <w:jc w:val="left"/>
              <w:rPr>
                <w:kern w:val="0"/>
                <w:szCs w:val="21"/>
              </w:rPr>
            </w:pPr>
            <w:r>
              <w:rPr>
                <w:kern w:val="0"/>
                <w:szCs w:val="21"/>
              </w:rPr>
              <w:t>不得私自从外单位获取剧毒品</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6.3</w:t>
            </w:r>
          </w:p>
        </w:tc>
        <w:tc>
          <w:tcPr>
            <w:tcW w:w="8494" w:type="dxa"/>
            <w:gridSpan w:val="7"/>
            <w:vAlign w:val="center"/>
          </w:tcPr>
          <w:p>
            <w:pPr>
              <w:widowControl/>
              <w:spacing w:line="240" w:lineRule="exact"/>
              <w:jc w:val="left"/>
              <w:rPr>
                <w:b/>
                <w:bCs/>
                <w:kern w:val="0"/>
                <w:szCs w:val="21"/>
              </w:rPr>
            </w:pPr>
            <w:r>
              <w:rPr>
                <w:b/>
                <w:kern w:val="0"/>
                <w:szCs w:val="21"/>
              </w:rPr>
              <w:t>其它管控药品的管理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6.3.1</w:t>
            </w:r>
          </w:p>
        </w:tc>
        <w:tc>
          <w:tcPr>
            <w:tcW w:w="5603" w:type="dxa"/>
            <w:vAlign w:val="center"/>
          </w:tcPr>
          <w:p>
            <w:pPr>
              <w:widowControl/>
              <w:spacing w:line="240" w:lineRule="exact"/>
              <w:jc w:val="left"/>
              <w:rPr>
                <w:kern w:val="0"/>
                <w:szCs w:val="21"/>
              </w:rPr>
            </w:pPr>
            <w:r>
              <w:rPr>
                <w:kern w:val="0"/>
                <w:szCs w:val="21"/>
              </w:rPr>
              <w:t>各类管控药品采购有校内报批流程，并建档</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6.3.2</w:t>
            </w:r>
          </w:p>
        </w:tc>
        <w:tc>
          <w:tcPr>
            <w:tcW w:w="5603" w:type="dxa"/>
            <w:vAlign w:val="center"/>
          </w:tcPr>
          <w:p>
            <w:pPr>
              <w:widowControl/>
              <w:spacing w:line="240" w:lineRule="exact"/>
              <w:jc w:val="left"/>
              <w:rPr>
                <w:kern w:val="0"/>
                <w:szCs w:val="21"/>
              </w:rPr>
            </w:pPr>
            <w:r>
              <w:rPr>
                <w:kern w:val="0"/>
                <w:szCs w:val="21"/>
              </w:rPr>
              <w:t>易制毒品购买前须经公安部门审批, 并凭证向具有经营许可资质的单位购买</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6.3.3</w:t>
            </w:r>
          </w:p>
        </w:tc>
        <w:tc>
          <w:tcPr>
            <w:tcW w:w="5603" w:type="dxa"/>
            <w:vAlign w:val="center"/>
          </w:tcPr>
          <w:p>
            <w:pPr>
              <w:widowControl/>
              <w:spacing w:line="240" w:lineRule="exact"/>
              <w:jc w:val="left"/>
              <w:rPr>
                <w:kern w:val="0"/>
                <w:szCs w:val="21"/>
              </w:rPr>
            </w:pPr>
            <w:r>
              <w:rPr>
                <w:kern w:val="0"/>
                <w:szCs w:val="21"/>
              </w:rPr>
              <w:t>易制毒品分类存放、专人保管，做好领取、使用、处置记录。其中第一类易制毒品实行“五双”管理制度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6.3.4</w:t>
            </w:r>
          </w:p>
        </w:tc>
        <w:tc>
          <w:tcPr>
            <w:tcW w:w="5603" w:type="dxa"/>
            <w:vAlign w:val="center"/>
          </w:tcPr>
          <w:p>
            <w:pPr>
              <w:widowControl/>
              <w:spacing w:line="240" w:lineRule="exact"/>
              <w:jc w:val="left"/>
              <w:rPr>
                <w:kern w:val="0"/>
                <w:szCs w:val="21"/>
              </w:rPr>
            </w:pPr>
            <w:r>
              <w:rPr>
                <w:kern w:val="0"/>
                <w:szCs w:val="21"/>
              </w:rPr>
              <w:t>易制爆品购买前须经公安部门审批, 或按照政府管理的规定要求采购，并向具有经营许可资质的单位购买</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6.3.</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易制爆品分类存放、专人保管，做好领取、使用、处置记录</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6.3.6</w:t>
            </w:r>
          </w:p>
        </w:tc>
        <w:tc>
          <w:tcPr>
            <w:tcW w:w="5603" w:type="dxa"/>
            <w:vAlign w:val="center"/>
          </w:tcPr>
          <w:p>
            <w:pPr>
              <w:widowControl/>
              <w:spacing w:line="24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6.3.7</w:t>
            </w:r>
          </w:p>
        </w:tc>
        <w:tc>
          <w:tcPr>
            <w:tcW w:w="5603" w:type="dxa"/>
            <w:vAlign w:val="center"/>
          </w:tcPr>
          <w:p>
            <w:pPr>
              <w:widowControl/>
              <w:spacing w:line="240" w:lineRule="exact"/>
              <w:jc w:val="left"/>
              <w:rPr>
                <w:kern w:val="0"/>
                <w:szCs w:val="21"/>
              </w:rPr>
            </w:pPr>
            <w:r>
              <w:rPr>
                <w:kern w:val="0"/>
                <w:szCs w:val="21"/>
              </w:rPr>
              <w:t>麻醉品和精神类药品储存于专门的保险柜中，有规范的领取、使用、处置台账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6.3.8</w:t>
            </w:r>
          </w:p>
        </w:tc>
        <w:tc>
          <w:tcPr>
            <w:tcW w:w="5603" w:type="dxa"/>
            <w:vAlign w:val="center"/>
          </w:tcPr>
          <w:p>
            <w:pPr>
              <w:widowControl/>
              <w:spacing w:line="240" w:lineRule="exact"/>
              <w:jc w:val="left"/>
              <w:rPr>
                <w:kern w:val="0"/>
                <w:szCs w:val="21"/>
              </w:rPr>
            </w:pPr>
            <w:r>
              <w:rPr>
                <w:kern w:val="0"/>
                <w:szCs w:val="21"/>
              </w:rPr>
              <w:t>爆炸品的采购、运输、存储、使用、销毁按照公安部门的要求执行</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6.4</w:t>
            </w:r>
          </w:p>
        </w:tc>
        <w:tc>
          <w:tcPr>
            <w:tcW w:w="8494" w:type="dxa"/>
            <w:gridSpan w:val="7"/>
            <w:vAlign w:val="center"/>
          </w:tcPr>
          <w:p>
            <w:pPr>
              <w:widowControl/>
              <w:spacing w:line="240" w:lineRule="exact"/>
              <w:jc w:val="left"/>
              <w:rPr>
                <w:b/>
                <w:bCs/>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6.4.1</w:t>
            </w:r>
          </w:p>
        </w:tc>
        <w:tc>
          <w:tcPr>
            <w:tcW w:w="5603" w:type="dxa"/>
            <w:vAlign w:val="center"/>
          </w:tcPr>
          <w:p>
            <w:pPr>
              <w:widowControl/>
              <w:spacing w:line="240" w:lineRule="exact"/>
              <w:jc w:val="left"/>
              <w:rPr>
                <w:kern w:val="0"/>
                <w:szCs w:val="21"/>
              </w:rPr>
            </w:pPr>
            <w:r>
              <w:rPr>
                <w:kern w:val="0"/>
                <w:szCs w:val="21"/>
              </w:rPr>
              <w:t>有气体钢瓶台帐，钢瓶颜色和字体清楚，在用气体有检验合格标识。需更换的气瓶应有标识</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6.4.2</w:t>
            </w:r>
          </w:p>
        </w:tc>
        <w:tc>
          <w:tcPr>
            <w:tcW w:w="5603" w:type="dxa"/>
            <w:vAlign w:val="center"/>
          </w:tcPr>
          <w:p>
            <w:pPr>
              <w:widowControl/>
              <w:spacing w:line="240" w:lineRule="exact"/>
              <w:jc w:val="left"/>
              <w:rPr>
                <w:kern w:val="0"/>
                <w:szCs w:val="21"/>
              </w:rPr>
            </w:pPr>
            <w:r>
              <w:rPr>
                <w:kern w:val="0"/>
                <w:szCs w:val="21"/>
              </w:rPr>
              <w:t>可燃性气体与氧气等助燃气体不混放</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6.4.3</w:t>
            </w:r>
          </w:p>
        </w:tc>
        <w:tc>
          <w:tcPr>
            <w:tcW w:w="5603" w:type="dxa"/>
            <w:vAlign w:val="center"/>
          </w:tcPr>
          <w:p>
            <w:pPr>
              <w:widowControl/>
              <w:spacing w:line="240" w:lineRule="exact"/>
              <w:jc w:val="left"/>
              <w:rPr>
                <w:kern w:val="0"/>
                <w:szCs w:val="21"/>
              </w:rPr>
            </w:pPr>
            <w:r>
              <w:rPr>
                <w:kern w:val="0"/>
                <w:szCs w:val="21"/>
              </w:rPr>
              <w:t xml:space="preserve">涉及剧毒、易燃易爆气体的场所，配有通风设施和合适的监控报警装置等；张贴必要的安全警示标识 </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6.4.4</w:t>
            </w:r>
          </w:p>
        </w:tc>
        <w:tc>
          <w:tcPr>
            <w:tcW w:w="5603" w:type="dxa"/>
            <w:vAlign w:val="center"/>
          </w:tcPr>
          <w:p>
            <w:pPr>
              <w:widowControl/>
              <w:spacing w:line="240" w:lineRule="exact"/>
              <w:jc w:val="left"/>
              <w:rPr>
                <w:kern w:val="0"/>
                <w:szCs w:val="21"/>
              </w:rPr>
            </w:pPr>
            <w:r>
              <w:rPr>
                <w:szCs w:val="21"/>
              </w:rPr>
              <w:t>大量惰性气体或CO</w:t>
            </w:r>
            <w:r>
              <w:rPr>
                <w:szCs w:val="21"/>
                <w:vertAlign w:val="subscript"/>
              </w:rPr>
              <w:t>2</w:t>
            </w:r>
            <w:r>
              <w:rPr>
                <w:szCs w:val="21"/>
              </w:rPr>
              <w:t>存放在有限空间内时需加装氧气含量报警器</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危险气体钢瓶存放点通风、远离热源；无气体钢瓶放在走廊、大厅等公共场所的现象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6.4.6</w:t>
            </w:r>
          </w:p>
        </w:tc>
        <w:tc>
          <w:tcPr>
            <w:tcW w:w="5603" w:type="dxa"/>
            <w:vAlign w:val="center"/>
          </w:tcPr>
          <w:p>
            <w:pPr>
              <w:widowControl/>
              <w:spacing w:line="240" w:lineRule="exact"/>
              <w:jc w:val="left"/>
              <w:rPr>
                <w:kern w:val="0"/>
                <w:szCs w:val="21"/>
              </w:rPr>
            </w:pPr>
            <w:r>
              <w:rPr>
                <w:kern w:val="0"/>
                <w:szCs w:val="21"/>
              </w:rPr>
              <w:t>气体钢瓶正确固定，</w:t>
            </w:r>
            <w:r>
              <w:rPr>
                <w:szCs w:val="21"/>
              </w:rPr>
              <w:t>避免暴晒，钢瓶放置地面平整干燥</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6.4.7</w:t>
            </w:r>
          </w:p>
        </w:tc>
        <w:tc>
          <w:tcPr>
            <w:tcW w:w="5603" w:type="dxa"/>
            <w:vAlign w:val="center"/>
          </w:tcPr>
          <w:p>
            <w:pPr>
              <w:widowControl/>
              <w:spacing w:line="240" w:lineRule="exact"/>
              <w:jc w:val="left"/>
              <w:rPr>
                <w:kern w:val="0"/>
                <w:szCs w:val="21"/>
              </w:rPr>
            </w:pPr>
            <w:r>
              <w:rPr>
                <w:kern w:val="0"/>
                <w:szCs w:val="21"/>
              </w:rPr>
              <w:t>气体连接管路连接正确、有标识，管路材质选择合适，无破损或老化现象。对于存在多条气体管路的房间张贴了详细的管路图</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6.4.8</w:t>
            </w:r>
          </w:p>
        </w:tc>
        <w:tc>
          <w:tcPr>
            <w:tcW w:w="5603" w:type="dxa"/>
            <w:vAlign w:val="center"/>
          </w:tcPr>
          <w:p>
            <w:pPr>
              <w:widowControl/>
              <w:spacing w:line="240" w:lineRule="exact"/>
              <w:jc w:val="left"/>
              <w:rPr>
                <w:kern w:val="0"/>
                <w:szCs w:val="21"/>
              </w:rPr>
            </w:pPr>
            <w:r>
              <w:rPr>
                <w:kern w:val="0"/>
                <w:szCs w:val="21"/>
              </w:rPr>
              <w:t>不能带着减压阀移动钢瓶、不得在地上滚动钢瓶</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6.4.9</w:t>
            </w:r>
          </w:p>
        </w:tc>
        <w:tc>
          <w:tcPr>
            <w:tcW w:w="5603" w:type="dxa"/>
            <w:vAlign w:val="center"/>
          </w:tcPr>
          <w:p>
            <w:pPr>
              <w:widowControl/>
              <w:spacing w:line="240" w:lineRule="exact"/>
              <w:jc w:val="left"/>
              <w:rPr>
                <w:kern w:val="0"/>
                <w:szCs w:val="21"/>
              </w:rPr>
            </w:pPr>
            <w:r>
              <w:rPr>
                <w:kern w:val="0"/>
                <w:szCs w:val="21"/>
              </w:rPr>
              <w:t>时常进行检漏，实验结束后，气体钢瓶总阀已关闭</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6.4.10</w:t>
            </w:r>
          </w:p>
        </w:tc>
        <w:tc>
          <w:tcPr>
            <w:tcW w:w="5603" w:type="dxa"/>
            <w:vAlign w:val="center"/>
          </w:tcPr>
          <w:p>
            <w:pPr>
              <w:widowControl/>
              <w:spacing w:line="240" w:lineRule="exact"/>
              <w:jc w:val="left"/>
              <w:rPr>
                <w:kern w:val="0"/>
                <w:szCs w:val="21"/>
              </w:rPr>
            </w:pPr>
            <w:r>
              <w:rPr>
                <w:kern w:val="0"/>
                <w:szCs w:val="21"/>
              </w:rPr>
              <w:t>独立的气体钢瓶室有专人管理</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6.4.11</w:t>
            </w:r>
          </w:p>
        </w:tc>
        <w:tc>
          <w:tcPr>
            <w:tcW w:w="5603" w:type="dxa"/>
            <w:vAlign w:val="center"/>
          </w:tcPr>
          <w:p>
            <w:pPr>
              <w:widowControl/>
              <w:spacing w:line="240" w:lineRule="exact"/>
              <w:jc w:val="left"/>
              <w:rPr>
                <w:kern w:val="0"/>
                <w:szCs w:val="21"/>
              </w:rPr>
            </w:pPr>
            <w:r>
              <w:rPr>
                <w:kern w:val="0"/>
                <w:szCs w:val="21"/>
              </w:rPr>
              <w:t>气体钢瓶有定期安全检测标识（由供应商负责进行），无过期气体钢瓶，无大量气体钢瓶堆放现象</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6.</w:t>
            </w:r>
            <w:r>
              <w:rPr>
                <w:rFonts w:hint="eastAsia"/>
                <w:b/>
                <w:kern w:val="0"/>
                <w:szCs w:val="21"/>
              </w:rPr>
              <w:t>5</w:t>
            </w:r>
          </w:p>
        </w:tc>
        <w:tc>
          <w:tcPr>
            <w:tcW w:w="8494" w:type="dxa"/>
            <w:gridSpan w:val="7"/>
            <w:vAlign w:val="center"/>
          </w:tcPr>
          <w:p>
            <w:pPr>
              <w:widowControl/>
              <w:spacing w:line="240" w:lineRule="exact"/>
              <w:jc w:val="left"/>
              <w:rPr>
                <w:b/>
                <w:bCs/>
                <w:kern w:val="0"/>
                <w:szCs w:val="21"/>
              </w:rPr>
            </w:pPr>
            <w:r>
              <w:rPr>
                <w:b/>
                <w:kern w:val="0"/>
                <w:szCs w:val="21"/>
              </w:rPr>
              <w:t>化学废弃物处置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w:t>
            </w:r>
            <w:r>
              <w:rPr>
                <w:rFonts w:hint="eastAsia"/>
                <w:kern w:val="0"/>
                <w:szCs w:val="21"/>
              </w:rPr>
              <w:t>5</w:t>
            </w:r>
            <w:r>
              <w:rPr>
                <w:kern w:val="0"/>
                <w:szCs w:val="21"/>
              </w:rPr>
              <w:t>.1</w:t>
            </w:r>
          </w:p>
        </w:tc>
        <w:tc>
          <w:tcPr>
            <w:tcW w:w="5603" w:type="dxa"/>
            <w:vAlign w:val="center"/>
          </w:tcPr>
          <w:p>
            <w:pPr>
              <w:widowControl/>
              <w:spacing w:line="240" w:lineRule="exact"/>
              <w:jc w:val="left"/>
              <w:rPr>
                <w:kern w:val="0"/>
                <w:szCs w:val="21"/>
              </w:rPr>
            </w:pPr>
            <w:r>
              <w:rPr>
                <w:kern w:val="0"/>
                <w:szCs w:val="21"/>
              </w:rPr>
              <w:t>与有资质的处置单位（企业）签约处置化学废弃物</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w:t>
            </w:r>
            <w:r>
              <w:rPr>
                <w:rFonts w:hint="eastAsia"/>
                <w:kern w:val="0"/>
                <w:szCs w:val="21"/>
              </w:rPr>
              <w:t>5</w:t>
            </w:r>
            <w:r>
              <w:rPr>
                <w:kern w:val="0"/>
                <w:szCs w:val="21"/>
              </w:rPr>
              <w:t>.2</w:t>
            </w:r>
          </w:p>
        </w:tc>
        <w:tc>
          <w:tcPr>
            <w:tcW w:w="5603" w:type="dxa"/>
            <w:vAlign w:val="center"/>
          </w:tcPr>
          <w:p>
            <w:pPr>
              <w:widowControl/>
              <w:spacing w:line="240" w:lineRule="exact"/>
              <w:jc w:val="left"/>
              <w:rPr>
                <w:kern w:val="0"/>
                <w:szCs w:val="21"/>
              </w:rPr>
            </w:pPr>
            <w:r>
              <w:rPr>
                <w:rFonts w:hint="eastAsia"/>
                <w:kern w:val="0"/>
                <w:szCs w:val="21"/>
              </w:rPr>
              <w:t>实验室</w:t>
            </w:r>
            <w:r>
              <w:rPr>
                <w:kern w:val="0"/>
                <w:szCs w:val="21"/>
              </w:rPr>
              <w:t>有统一的化学实验废弃物标签，包含废物类别、危险类别、主要成分、产生单位、送储人、日期等信息</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w:t>
            </w:r>
            <w:r>
              <w:rPr>
                <w:rFonts w:hint="eastAsia"/>
                <w:kern w:val="0"/>
                <w:szCs w:val="21"/>
              </w:rPr>
              <w:t>5</w:t>
            </w:r>
            <w:r>
              <w:rPr>
                <w:kern w:val="0"/>
                <w:szCs w:val="21"/>
              </w:rPr>
              <w:t>.3</w:t>
            </w:r>
          </w:p>
        </w:tc>
        <w:tc>
          <w:tcPr>
            <w:tcW w:w="5603" w:type="dxa"/>
            <w:vAlign w:val="center"/>
          </w:tcPr>
          <w:p>
            <w:pPr>
              <w:widowControl/>
              <w:spacing w:line="240" w:lineRule="exact"/>
              <w:jc w:val="left"/>
              <w:rPr>
                <w:kern w:val="0"/>
                <w:szCs w:val="21"/>
              </w:rPr>
            </w:pPr>
            <w:r>
              <w:rPr>
                <w:kern w:val="0"/>
                <w:szCs w:val="21"/>
              </w:rPr>
              <w:t>配备了化学实验废弃物分类容器</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w:t>
            </w:r>
            <w:r>
              <w:rPr>
                <w:rFonts w:hint="eastAsia"/>
                <w:kern w:val="0"/>
                <w:szCs w:val="21"/>
              </w:rPr>
              <w:t>5</w:t>
            </w:r>
            <w:r>
              <w:rPr>
                <w:kern w:val="0"/>
                <w:szCs w:val="21"/>
              </w:rPr>
              <w:t>.4</w:t>
            </w:r>
          </w:p>
        </w:tc>
        <w:tc>
          <w:tcPr>
            <w:tcW w:w="5603" w:type="dxa"/>
            <w:vAlign w:val="center"/>
          </w:tcPr>
          <w:p>
            <w:pPr>
              <w:widowControl/>
              <w:spacing w:line="240" w:lineRule="exact"/>
              <w:jc w:val="left"/>
              <w:rPr>
                <w:kern w:val="0"/>
                <w:szCs w:val="21"/>
              </w:rPr>
            </w:pPr>
            <w:r>
              <w:rPr>
                <w:kern w:val="0"/>
                <w:szCs w:val="21"/>
              </w:rPr>
              <w:t>对化学废弃物进行了分类存放（应避免易产生剧烈反应的物品混放）、包装严密，并贴好标签</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w:t>
            </w:r>
            <w:r>
              <w:rPr>
                <w:rFonts w:hint="eastAsia"/>
                <w:kern w:val="0"/>
                <w:szCs w:val="21"/>
              </w:rPr>
              <w:t>5</w:t>
            </w:r>
            <w:r>
              <w:rPr>
                <w:kern w:val="0"/>
                <w:szCs w:val="21"/>
              </w:rPr>
              <w:t>.</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 xml:space="preserve">定时清运化学实验废弃物，实验室内无大量存放、室外无堆放实验废弃物现象 </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w:t>
            </w:r>
            <w:r>
              <w:rPr>
                <w:rFonts w:hint="eastAsia"/>
                <w:kern w:val="0"/>
                <w:szCs w:val="21"/>
              </w:rPr>
              <w:t>5</w:t>
            </w:r>
            <w:r>
              <w:rPr>
                <w:kern w:val="0"/>
                <w:szCs w:val="21"/>
              </w:rPr>
              <w:t>.6</w:t>
            </w:r>
          </w:p>
        </w:tc>
        <w:tc>
          <w:tcPr>
            <w:tcW w:w="5603" w:type="dxa"/>
            <w:vAlign w:val="center"/>
          </w:tcPr>
          <w:p>
            <w:pPr>
              <w:widowControl/>
              <w:spacing w:line="240" w:lineRule="exact"/>
              <w:jc w:val="left"/>
              <w:rPr>
                <w:kern w:val="0"/>
                <w:szCs w:val="21"/>
              </w:rPr>
            </w:pPr>
            <w:r>
              <w:rPr>
                <w:kern w:val="0"/>
                <w:szCs w:val="21"/>
              </w:rPr>
              <w:t>实验废弃物和生活垃圾不混放，不向下水道倾倒废旧化学试剂</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w:t>
            </w:r>
            <w:r>
              <w:rPr>
                <w:rFonts w:hint="eastAsia"/>
                <w:kern w:val="0"/>
                <w:szCs w:val="21"/>
              </w:rPr>
              <w:t>5</w:t>
            </w:r>
            <w:r>
              <w:rPr>
                <w:kern w:val="0"/>
                <w:szCs w:val="21"/>
              </w:rPr>
              <w:t>.7</w:t>
            </w:r>
          </w:p>
        </w:tc>
        <w:tc>
          <w:tcPr>
            <w:tcW w:w="5603" w:type="dxa"/>
            <w:vAlign w:val="center"/>
          </w:tcPr>
          <w:p>
            <w:pPr>
              <w:widowControl/>
              <w:spacing w:line="240" w:lineRule="exact"/>
              <w:jc w:val="left"/>
              <w:rPr>
                <w:kern w:val="0"/>
                <w:szCs w:val="21"/>
              </w:rPr>
            </w:pPr>
            <w:r>
              <w:rPr>
                <w:kern w:val="0"/>
                <w:szCs w:val="21"/>
              </w:rPr>
              <w:t>对于产生有毒和异味废气的，有气体吸收装置</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w:t>
            </w:r>
            <w:r>
              <w:rPr>
                <w:rFonts w:hint="eastAsia"/>
                <w:kern w:val="0"/>
                <w:szCs w:val="21"/>
              </w:rPr>
              <w:t>5</w:t>
            </w:r>
            <w:r>
              <w:rPr>
                <w:kern w:val="0"/>
                <w:szCs w:val="21"/>
              </w:rPr>
              <w:t>.8</w:t>
            </w:r>
          </w:p>
        </w:tc>
        <w:tc>
          <w:tcPr>
            <w:tcW w:w="5603" w:type="dxa"/>
            <w:vAlign w:val="center"/>
          </w:tcPr>
          <w:p>
            <w:pPr>
              <w:widowControl/>
              <w:spacing w:line="240" w:lineRule="exact"/>
              <w:jc w:val="left"/>
              <w:rPr>
                <w:kern w:val="0"/>
                <w:szCs w:val="21"/>
              </w:rPr>
            </w:pPr>
            <w:r>
              <w:rPr>
                <w:kern w:val="0"/>
                <w:szCs w:val="21"/>
              </w:rPr>
              <w:t>锐器废物盛放在纸板箱等不易被刺穿的容器中</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6.6</w:t>
            </w:r>
          </w:p>
        </w:tc>
        <w:tc>
          <w:tcPr>
            <w:tcW w:w="8494" w:type="dxa"/>
            <w:gridSpan w:val="7"/>
            <w:vAlign w:val="center"/>
          </w:tcPr>
          <w:p>
            <w:pPr>
              <w:widowControl/>
              <w:spacing w:line="240" w:lineRule="exact"/>
              <w:jc w:val="left"/>
              <w:rPr>
                <w:b/>
                <w:bCs/>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6.6.1</w:t>
            </w:r>
          </w:p>
        </w:tc>
        <w:tc>
          <w:tcPr>
            <w:tcW w:w="5603" w:type="dxa"/>
            <w:vAlign w:val="center"/>
          </w:tcPr>
          <w:p>
            <w:pPr>
              <w:widowControl/>
              <w:spacing w:line="240" w:lineRule="exact"/>
              <w:jc w:val="left"/>
              <w:rPr>
                <w:kern w:val="0"/>
                <w:szCs w:val="21"/>
              </w:rPr>
            </w:pPr>
            <w:r>
              <w:rPr>
                <w:kern w:val="0"/>
                <w:szCs w:val="21"/>
              </w:rPr>
              <w:t>学校有统一的试剂标签（用于配置试剂、合成品、样品等），信息包括名称、浓度、责任人、日期、储存条件等</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6.6.2</w:t>
            </w:r>
          </w:p>
        </w:tc>
        <w:tc>
          <w:tcPr>
            <w:tcW w:w="5603" w:type="dxa"/>
            <w:vAlign w:val="center"/>
          </w:tcPr>
          <w:p>
            <w:pPr>
              <w:widowControl/>
              <w:spacing w:line="240" w:lineRule="exact"/>
              <w:jc w:val="left"/>
              <w:rPr>
                <w:kern w:val="0"/>
                <w:szCs w:val="21"/>
              </w:rPr>
            </w:pPr>
            <w:r>
              <w:rPr>
                <w:kern w:val="0"/>
                <w:szCs w:val="21"/>
              </w:rPr>
              <w:t>配置试剂、合成品、样品等标签信息明确</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6.6.3</w:t>
            </w:r>
          </w:p>
        </w:tc>
        <w:tc>
          <w:tcPr>
            <w:tcW w:w="5603" w:type="dxa"/>
            <w:vAlign w:val="center"/>
          </w:tcPr>
          <w:p>
            <w:pPr>
              <w:widowControl/>
              <w:spacing w:line="240" w:lineRule="exact"/>
              <w:jc w:val="left"/>
              <w:rPr>
                <w:kern w:val="0"/>
                <w:szCs w:val="21"/>
              </w:rPr>
            </w:pPr>
            <w:r>
              <w:rPr>
                <w:kern w:val="0"/>
                <w:szCs w:val="21"/>
              </w:rPr>
              <w:t>盛放配置试剂、合成品等的烧杯、烧瓶不得无盖放置</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6.6.4</w:t>
            </w:r>
          </w:p>
        </w:tc>
        <w:tc>
          <w:tcPr>
            <w:tcW w:w="5603" w:type="dxa"/>
            <w:vAlign w:val="center"/>
          </w:tcPr>
          <w:p>
            <w:pPr>
              <w:widowControl/>
              <w:spacing w:line="240" w:lineRule="exact"/>
              <w:jc w:val="left"/>
              <w:rPr>
                <w:kern w:val="0"/>
                <w:szCs w:val="21"/>
              </w:rPr>
            </w:pPr>
            <w:r>
              <w:rPr>
                <w:kern w:val="0"/>
                <w:szCs w:val="21"/>
              </w:rPr>
              <w:t>无使用饮料瓶存放试剂、样品的现象。如确需存放，必须撕去原包装纸，贴上专用标签纸</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6.6.</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原标签纸未撕去的空试剂瓶中不存放其它化学品的现象（除非将原标签撕去、重新贴上专用标签纸）</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6.6.6</w:t>
            </w:r>
          </w:p>
        </w:tc>
        <w:tc>
          <w:tcPr>
            <w:tcW w:w="5603" w:type="dxa"/>
            <w:vAlign w:val="center"/>
          </w:tcPr>
          <w:p>
            <w:pPr>
              <w:widowControl/>
              <w:spacing w:line="240" w:lineRule="exact"/>
              <w:jc w:val="left"/>
              <w:rPr>
                <w:kern w:val="0"/>
                <w:szCs w:val="21"/>
              </w:rPr>
            </w:pPr>
            <w:r>
              <w:rPr>
                <w:kern w:val="0"/>
                <w:szCs w:val="21"/>
              </w:rPr>
              <w:t>用于浸泡玻璃器皿的酸缸、碱缸等有盖子盖上</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6.6.7</w:t>
            </w:r>
          </w:p>
        </w:tc>
        <w:tc>
          <w:tcPr>
            <w:tcW w:w="5603" w:type="dxa"/>
            <w:vAlign w:val="center"/>
          </w:tcPr>
          <w:p>
            <w:pPr>
              <w:widowControl/>
              <w:spacing w:line="240" w:lineRule="exact"/>
              <w:jc w:val="left"/>
              <w:rPr>
                <w:kern w:val="0"/>
                <w:szCs w:val="21"/>
              </w:rPr>
            </w:pPr>
            <w:r>
              <w:rPr>
                <w:kern w:val="0"/>
                <w:szCs w:val="21"/>
              </w:rPr>
              <w:t>不使用破损量筒、试管等玻璃器皿</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6.6.8</w:t>
            </w:r>
          </w:p>
        </w:tc>
        <w:tc>
          <w:tcPr>
            <w:tcW w:w="5603" w:type="dxa"/>
            <w:vAlign w:val="center"/>
          </w:tcPr>
          <w:p>
            <w:pPr>
              <w:widowControl/>
              <w:spacing w:line="240" w:lineRule="exact"/>
              <w:jc w:val="left"/>
              <w:rPr>
                <w:kern w:val="0"/>
                <w:szCs w:val="21"/>
              </w:rPr>
            </w:pPr>
            <w:r>
              <w:rPr>
                <w:kern w:val="0"/>
                <w:szCs w:val="21"/>
              </w:rPr>
              <w:t>涉及危险化学品的实验室化学品安全技术说明书（MSDS）或安全周知卡，放在门上/门边活动袋中</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6.6.9</w:t>
            </w:r>
          </w:p>
        </w:tc>
        <w:tc>
          <w:tcPr>
            <w:tcW w:w="5603" w:type="dxa"/>
            <w:vAlign w:val="center"/>
          </w:tcPr>
          <w:p>
            <w:pPr>
              <w:widowControl/>
              <w:spacing w:line="240" w:lineRule="exact"/>
              <w:jc w:val="left"/>
              <w:rPr>
                <w:kern w:val="0"/>
                <w:szCs w:val="21"/>
              </w:rPr>
            </w:pPr>
            <w:r>
              <w:rPr>
                <w:kern w:val="0"/>
                <w:szCs w:val="21"/>
              </w:rPr>
              <w:t>危险性化学实验有实验指导书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6.6.10</w:t>
            </w:r>
          </w:p>
        </w:tc>
        <w:tc>
          <w:tcPr>
            <w:tcW w:w="5603" w:type="dxa"/>
            <w:vAlign w:val="center"/>
          </w:tcPr>
          <w:p>
            <w:pPr>
              <w:widowControl/>
              <w:spacing w:line="240" w:lineRule="exact"/>
              <w:jc w:val="left"/>
              <w:rPr>
                <w:kern w:val="0"/>
                <w:szCs w:val="21"/>
              </w:rPr>
            </w:pPr>
            <w:r>
              <w:rPr>
                <w:szCs w:val="21"/>
              </w:rPr>
              <w:t>实验室内有吸液（油）棉/条带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7</w:t>
            </w:r>
          </w:p>
        </w:tc>
        <w:tc>
          <w:tcPr>
            <w:tcW w:w="8494" w:type="dxa"/>
            <w:gridSpan w:val="7"/>
            <w:vAlign w:val="center"/>
          </w:tcPr>
          <w:p>
            <w:pPr>
              <w:widowControl/>
              <w:spacing w:line="240" w:lineRule="exact"/>
              <w:jc w:val="left"/>
              <w:rPr>
                <w:b/>
                <w:bCs/>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7.1</w:t>
            </w:r>
          </w:p>
        </w:tc>
        <w:tc>
          <w:tcPr>
            <w:tcW w:w="8494" w:type="dxa"/>
            <w:gridSpan w:val="7"/>
            <w:vAlign w:val="center"/>
          </w:tcPr>
          <w:p>
            <w:pPr>
              <w:widowControl/>
              <w:spacing w:line="240" w:lineRule="exact"/>
              <w:jc w:val="left"/>
              <w:rPr>
                <w:b/>
                <w:bCs/>
                <w:kern w:val="0"/>
                <w:szCs w:val="21"/>
              </w:rPr>
            </w:pPr>
            <w:r>
              <w:rPr>
                <w:b/>
                <w:kern w:val="0"/>
                <w:szCs w:val="21"/>
              </w:rPr>
              <w:t>实验室与人员资质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7.1.1</w:t>
            </w:r>
          </w:p>
        </w:tc>
        <w:tc>
          <w:tcPr>
            <w:tcW w:w="5603" w:type="dxa"/>
            <w:vAlign w:val="center"/>
          </w:tcPr>
          <w:p>
            <w:pPr>
              <w:widowControl/>
              <w:spacing w:line="240" w:lineRule="exact"/>
              <w:jc w:val="left"/>
              <w:rPr>
                <w:kern w:val="0"/>
                <w:szCs w:val="21"/>
              </w:rPr>
            </w:pPr>
            <w:r>
              <w:rPr>
                <w:kern w:val="0"/>
                <w:szCs w:val="21"/>
              </w:rPr>
              <w:t>开展病原微生物相关实验和研究的实验室，须具备相应的安全等级资质和生物危害因子实验活动资格</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7.1.2</w:t>
            </w:r>
          </w:p>
        </w:tc>
        <w:tc>
          <w:tcPr>
            <w:tcW w:w="5603" w:type="dxa"/>
            <w:vAlign w:val="center"/>
          </w:tcPr>
          <w:p>
            <w:pPr>
              <w:widowControl/>
              <w:spacing w:line="240" w:lineRule="exact"/>
              <w:jc w:val="left"/>
              <w:rPr>
                <w:kern w:val="0"/>
                <w:szCs w:val="21"/>
              </w:rPr>
            </w:pPr>
            <w:r>
              <w:rPr>
                <w:kern w:val="0"/>
                <w:szCs w:val="21"/>
              </w:rPr>
              <w:t>开展病原微生物相关实验和研究的人员经过专业培训，并取得相应的“证书”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7.1.3</w:t>
            </w:r>
          </w:p>
        </w:tc>
        <w:tc>
          <w:tcPr>
            <w:tcW w:w="5603" w:type="dxa"/>
            <w:vAlign w:val="center"/>
          </w:tcPr>
          <w:p>
            <w:pPr>
              <w:widowControl/>
              <w:spacing w:line="240" w:lineRule="exact"/>
              <w:jc w:val="left"/>
              <w:rPr>
                <w:kern w:val="0"/>
                <w:szCs w:val="21"/>
              </w:rPr>
            </w:pPr>
            <w:r>
              <w:rPr>
                <w:kern w:val="0"/>
                <w:szCs w:val="21"/>
              </w:rPr>
              <w:t>开展病原微生物实验须向卫生或农业主管部门申报备案</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7.1.4</w:t>
            </w:r>
          </w:p>
        </w:tc>
        <w:tc>
          <w:tcPr>
            <w:tcW w:w="5603" w:type="dxa"/>
            <w:vAlign w:val="center"/>
          </w:tcPr>
          <w:p>
            <w:pPr>
              <w:widowControl/>
              <w:spacing w:line="240" w:lineRule="exact"/>
              <w:jc w:val="left"/>
              <w:rPr>
                <w:kern w:val="0"/>
                <w:szCs w:val="21"/>
              </w:rPr>
            </w:pPr>
            <w:r>
              <w:rPr>
                <w:kern w:val="0"/>
                <w:szCs w:val="21"/>
              </w:rPr>
              <w:t>开展未经灭活的高致病性病原微生物（列入一类、二类）相关实验和研究，必须在BSL-3/ABSL-3、BSL-4/ABSL-4实验室中进行</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7.1.</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开展低致病性病原微生物（列入三类、四类），或经灭活的高致病性感染性材料的相关实验和研究，必须在BSL-1/ ABSL-1及以上等级实验室中进行</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7.1.6</w:t>
            </w:r>
          </w:p>
        </w:tc>
        <w:tc>
          <w:tcPr>
            <w:tcW w:w="5603" w:type="dxa"/>
            <w:vAlign w:val="center"/>
          </w:tcPr>
          <w:p>
            <w:pPr>
              <w:widowControl/>
              <w:spacing w:line="240" w:lineRule="exact"/>
              <w:jc w:val="left"/>
              <w:rPr>
                <w:kern w:val="0"/>
                <w:szCs w:val="21"/>
              </w:rPr>
            </w:pPr>
            <w:r>
              <w:rPr>
                <w:kern w:val="0"/>
                <w:szCs w:val="21"/>
              </w:rPr>
              <w:t>饲养实验动物的场所应有资质证书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7.1.7</w:t>
            </w:r>
          </w:p>
        </w:tc>
        <w:tc>
          <w:tcPr>
            <w:tcW w:w="5603" w:type="dxa"/>
            <w:vAlign w:val="center"/>
          </w:tcPr>
          <w:p>
            <w:pPr>
              <w:widowControl/>
              <w:spacing w:line="240" w:lineRule="exact"/>
              <w:jc w:val="left"/>
              <w:rPr>
                <w:kern w:val="0"/>
                <w:szCs w:val="21"/>
              </w:rPr>
            </w:pPr>
            <w:r>
              <w:rPr>
                <w:kern w:val="0"/>
                <w:szCs w:val="21"/>
              </w:rPr>
              <w:t>实验动物需从具有资质的单位购买，具有合格证明</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7.2</w:t>
            </w:r>
          </w:p>
        </w:tc>
        <w:tc>
          <w:tcPr>
            <w:tcW w:w="8494" w:type="dxa"/>
            <w:gridSpan w:val="7"/>
            <w:vAlign w:val="center"/>
          </w:tcPr>
          <w:p>
            <w:pPr>
              <w:widowControl/>
              <w:spacing w:line="240" w:lineRule="exact"/>
              <w:jc w:val="left"/>
              <w:rPr>
                <w:b/>
                <w:bCs/>
                <w:kern w:val="0"/>
                <w:szCs w:val="21"/>
              </w:rPr>
            </w:pPr>
            <w:r>
              <w:rPr>
                <w:b/>
                <w:kern w:val="0"/>
                <w:szCs w:val="21"/>
              </w:rPr>
              <w:t>设施与场所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7.2.1</w:t>
            </w:r>
          </w:p>
        </w:tc>
        <w:tc>
          <w:tcPr>
            <w:tcW w:w="5603" w:type="dxa"/>
            <w:vAlign w:val="center"/>
          </w:tcPr>
          <w:p>
            <w:pPr>
              <w:widowControl/>
              <w:spacing w:line="240" w:lineRule="exact"/>
              <w:jc w:val="left"/>
              <w:rPr>
                <w:kern w:val="0"/>
                <w:szCs w:val="21"/>
              </w:rPr>
            </w:pPr>
            <w:r>
              <w:rPr>
                <w:kern w:val="0"/>
                <w:szCs w:val="21"/>
              </w:rPr>
              <w:t>实验室安全防范设施达到安全要求，BSL-2/ABSL-2及以上安全等级实验室须有门禁和准入制度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7.2.2</w:t>
            </w:r>
          </w:p>
        </w:tc>
        <w:tc>
          <w:tcPr>
            <w:tcW w:w="5603" w:type="dxa"/>
            <w:vAlign w:val="center"/>
          </w:tcPr>
          <w:p>
            <w:pPr>
              <w:widowControl/>
              <w:spacing w:line="240" w:lineRule="exact"/>
              <w:jc w:val="left"/>
              <w:rPr>
                <w:kern w:val="0"/>
                <w:szCs w:val="21"/>
              </w:rPr>
            </w:pPr>
            <w:r>
              <w:rPr>
                <w:kern w:val="0"/>
                <w:szCs w:val="21"/>
              </w:rPr>
              <w:t>配有符合相应生物安全等级要求的生物安全柜，定期检查生物安全柜风速及高效空气微粒过滤器性能，并做好了记录</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7.2.3</w:t>
            </w:r>
          </w:p>
        </w:tc>
        <w:tc>
          <w:tcPr>
            <w:tcW w:w="5603" w:type="dxa"/>
            <w:vAlign w:val="center"/>
          </w:tcPr>
          <w:p>
            <w:pPr>
              <w:widowControl/>
              <w:spacing w:line="240" w:lineRule="exact"/>
              <w:jc w:val="left"/>
              <w:rPr>
                <w:kern w:val="0"/>
                <w:szCs w:val="21"/>
              </w:rPr>
            </w:pPr>
            <w:r>
              <w:rPr>
                <w:kern w:val="0"/>
                <w:szCs w:val="21"/>
              </w:rPr>
              <w:t>储存病原微生物的场所或储柜配备防盗设施，并安装监控报警装置</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7.2.4</w:t>
            </w:r>
          </w:p>
        </w:tc>
        <w:tc>
          <w:tcPr>
            <w:tcW w:w="5603" w:type="dxa"/>
            <w:vAlign w:val="center"/>
          </w:tcPr>
          <w:p>
            <w:pPr>
              <w:widowControl/>
              <w:spacing w:line="240" w:lineRule="exact"/>
              <w:jc w:val="left"/>
              <w:rPr>
                <w:kern w:val="0"/>
                <w:szCs w:val="21"/>
              </w:rPr>
            </w:pPr>
            <w:r>
              <w:rPr>
                <w:kern w:val="0"/>
                <w:szCs w:val="21"/>
              </w:rPr>
              <w:t>有高压灭菌器，并能正常工作</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7.2.</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安装了防虫纱窗、入口处有挡鼠板</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7.2.6</w:t>
            </w:r>
          </w:p>
        </w:tc>
        <w:tc>
          <w:tcPr>
            <w:tcW w:w="5603" w:type="dxa"/>
            <w:vAlign w:val="center"/>
          </w:tcPr>
          <w:p>
            <w:pPr>
              <w:widowControl/>
              <w:spacing w:line="240" w:lineRule="exact"/>
              <w:jc w:val="left"/>
              <w:rPr>
                <w:kern w:val="0"/>
                <w:szCs w:val="21"/>
              </w:rPr>
            </w:pPr>
            <w:r>
              <w:rPr>
                <w:kern w:val="0"/>
                <w:szCs w:val="21"/>
              </w:rPr>
              <w:t>传递窗内无物品</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7.3</w:t>
            </w:r>
          </w:p>
        </w:tc>
        <w:tc>
          <w:tcPr>
            <w:tcW w:w="8494" w:type="dxa"/>
            <w:gridSpan w:val="7"/>
            <w:vAlign w:val="center"/>
          </w:tcPr>
          <w:p>
            <w:pPr>
              <w:widowControl/>
              <w:spacing w:line="240" w:lineRule="exact"/>
              <w:jc w:val="left"/>
              <w:rPr>
                <w:b/>
                <w:bCs/>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7.3.1</w:t>
            </w:r>
          </w:p>
        </w:tc>
        <w:tc>
          <w:tcPr>
            <w:tcW w:w="5603" w:type="dxa"/>
            <w:vAlign w:val="center"/>
          </w:tcPr>
          <w:p>
            <w:pPr>
              <w:widowControl/>
              <w:spacing w:line="240" w:lineRule="exact"/>
              <w:jc w:val="left"/>
              <w:rPr>
                <w:kern w:val="0"/>
                <w:szCs w:val="21"/>
              </w:rPr>
            </w:pPr>
            <w:r>
              <w:rPr>
                <w:kern w:val="0"/>
                <w:szCs w:val="21"/>
              </w:rPr>
              <w:t>采购高致病性病原微生物需经学院和学校审批，报行业主管部门批准，有记录</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7.3.2</w:t>
            </w:r>
          </w:p>
        </w:tc>
        <w:tc>
          <w:tcPr>
            <w:tcW w:w="5603" w:type="dxa"/>
            <w:vAlign w:val="center"/>
          </w:tcPr>
          <w:p>
            <w:pPr>
              <w:widowControl/>
              <w:spacing w:line="240" w:lineRule="exact"/>
              <w:jc w:val="left"/>
              <w:rPr>
                <w:kern w:val="0"/>
                <w:szCs w:val="21"/>
              </w:rPr>
            </w:pPr>
            <w:r>
              <w:rPr>
                <w:kern w:val="0"/>
                <w:szCs w:val="21"/>
              </w:rPr>
              <w:t>实验室自行分离的高致病性病原微生物，需按有关规定报卫生或农业主管部门批准，方可保藏</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7.3.3</w:t>
            </w:r>
          </w:p>
        </w:tc>
        <w:tc>
          <w:tcPr>
            <w:tcW w:w="5603" w:type="dxa"/>
            <w:vAlign w:val="center"/>
          </w:tcPr>
          <w:p>
            <w:pPr>
              <w:widowControl/>
              <w:spacing w:line="240" w:lineRule="exact"/>
              <w:jc w:val="left"/>
              <w:rPr>
                <w:kern w:val="0"/>
                <w:szCs w:val="21"/>
              </w:rPr>
            </w:pPr>
            <w:r>
              <w:rPr>
                <w:kern w:val="0"/>
                <w:szCs w:val="21"/>
              </w:rPr>
              <w:t>有病原微生物保藏、实验使用、销毁的记录</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7.3.4</w:t>
            </w:r>
          </w:p>
        </w:tc>
        <w:tc>
          <w:tcPr>
            <w:tcW w:w="5603" w:type="dxa"/>
            <w:vAlign w:val="center"/>
          </w:tcPr>
          <w:p>
            <w:pPr>
              <w:widowControl/>
              <w:spacing w:line="240" w:lineRule="exact"/>
              <w:jc w:val="left"/>
              <w:rPr>
                <w:kern w:val="0"/>
                <w:szCs w:val="21"/>
              </w:rPr>
            </w:pPr>
            <w:r>
              <w:rPr>
                <w:kern w:val="0"/>
                <w:szCs w:val="21"/>
              </w:rPr>
              <w:t>在合适的生物安全柜中进行实验</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7.3.</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对病原微生物的操作具有相应的个人防护措施</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7.3.6</w:t>
            </w:r>
          </w:p>
        </w:tc>
        <w:tc>
          <w:tcPr>
            <w:tcW w:w="5603" w:type="dxa"/>
            <w:vAlign w:val="center"/>
          </w:tcPr>
          <w:p>
            <w:pPr>
              <w:widowControl/>
              <w:spacing w:line="240" w:lineRule="exact"/>
              <w:jc w:val="left"/>
              <w:rPr>
                <w:kern w:val="0"/>
                <w:szCs w:val="21"/>
              </w:rPr>
            </w:pPr>
            <w:r>
              <w:rPr>
                <w:kern w:val="0"/>
                <w:szCs w:val="21"/>
              </w:rPr>
              <w:t>BSL-2 /ABSL-2及以上等级实验室，开展病原微生物的相关实验活动应有风险评估和应急预案</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7.3.7</w:t>
            </w:r>
          </w:p>
        </w:tc>
        <w:tc>
          <w:tcPr>
            <w:tcW w:w="5603" w:type="dxa"/>
            <w:vAlign w:val="center"/>
          </w:tcPr>
          <w:p>
            <w:pPr>
              <w:widowControl/>
              <w:spacing w:line="240" w:lineRule="exact"/>
              <w:jc w:val="left"/>
              <w:rPr>
                <w:kern w:val="0"/>
                <w:szCs w:val="21"/>
              </w:rPr>
            </w:pPr>
            <w:r>
              <w:rPr>
                <w:szCs w:val="21"/>
              </w:rPr>
              <w:t>禁止戴实验防护手套操作未受潜在感染性生物材料污染的设施设备（包括门窗、开关、仪器、冰箱、电脑、电话等）</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7.3.8</w:t>
            </w:r>
          </w:p>
        </w:tc>
        <w:tc>
          <w:tcPr>
            <w:tcW w:w="5603" w:type="dxa"/>
            <w:vAlign w:val="center"/>
          </w:tcPr>
          <w:p>
            <w:pPr>
              <w:widowControl/>
              <w:spacing w:line="240" w:lineRule="exact"/>
              <w:jc w:val="left"/>
              <w:rPr>
                <w:szCs w:val="21"/>
              </w:rPr>
            </w:pPr>
            <w:r>
              <w:rPr>
                <w:szCs w:val="21"/>
              </w:rPr>
              <w:t>用于解剖的实验动物须经过检验检疫合格</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7.3.9</w:t>
            </w:r>
          </w:p>
        </w:tc>
        <w:tc>
          <w:tcPr>
            <w:tcW w:w="5603" w:type="dxa"/>
            <w:vAlign w:val="center"/>
          </w:tcPr>
          <w:p>
            <w:pPr>
              <w:widowControl/>
              <w:spacing w:line="240" w:lineRule="exact"/>
              <w:jc w:val="left"/>
              <w:rPr>
                <w:szCs w:val="21"/>
              </w:rPr>
            </w:pPr>
            <w:r>
              <w:rPr>
                <w:szCs w:val="21"/>
              </w:rPr>
              <w:t>解剖实验动物时，必须做好个人防护</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7.4</w:t>
            </w:r>
          </w:p>
        </w:tc>
        <w:tc>
          <w:tcPr>
            <w:tcW w:w="8494" w:type="dxa"/>
            <w:gridSpan w:val="7"/>
            <w:vAlign w:val="center"/>
          </w:tcPr>
          <w:p>
            <w:pPr>
              <w:widowControl/>
              <w:spacing w:line="240" w:lineRule="exact"/>
              <w:jc w:val="left"/>
              <w:rPr>
                <w:b/>
                <w:bCs/>
                <w:kern w:val="0"/>
                <w:szCs w:val="21"/>
              </w:rPr>
            </w:pPr>
            <w:r>
              <w:rPr>
                <w:b/>
                <w:kern w:val="0"/>
                <w:szCs w:val="21"/>
              </w:rPr>
              <w:t>生物实验废弃物处置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7.4.1</w:t>
            </w:r>
          </w:p>
        </w:tc>
        <w:tc>
          <w:tcPr>
            <w:tcW w:w="5603" w:type="dxa"/>
            <w:vAlign w:val="center"/>
          </w:tcPr>
          <w:p>
            <w:pPr>
              <w:widowControl/>
              <w:spacing w:line="240" w:lineRule="exact"/>
              <w:jc w:val="left"/>
              <w:rPr>
                <w:kern w:val="0"/>
                <w:szCs w:val="21"/>
              </w:rPr>
            </w:pPr>
            <w:r>
              <w:rPr>
                <w:kern w:val="0"/>
                <w:szCs w:val="21"/>
              </w:rPr>
              <w:t>涉及病原微生物的实验室废弃物必须进行高温高压灭菌或化学浸泡灭菌处理，并有处置的记录。高致病性生物材料废弃物处置实现溯源追踪</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828" w:type="dxa"/>
            <w:vAlign w:val="center"/>
          </w:tcPr>
          <w:p>
            <w:pPr>
              <w:widowControl/>
              <w:spacing w:line="240" w:lineRule="exact"/>
              <w:jc w:val="left"/>
              <w:rPr>
                <w:kern w:val="0"/>
                <w:szCs w:val="21"/>
              </w:rPr>
            </w:pPr>
            <w:r>
              <w:rPr>
                <w:kern w:val="0"/>
                <w:szCs w:val="21"/>
              </w:rPr>
              <w:t>7.4.2</w:t>
            </w:r>
          </w:p>
        </w:tc>
        <w:tc>
          <w:tcPr>
            <w:tcW w:w="5603" w:type="dxa"/>
            <w:vAlign w:val="center"/>
          </w:tcPr>
          <w:p>
            <w:pPr>
              <w:widowControl/>
              <w:spacing w:line="240" w:lineRule="exact"/>
              <w:jc w:val="left"/>
              <w:rPr>
                <w:kern w:val="0"/>
                <w:szCs w:val="21"/>
              </w:rPr>
            </w:pPr>
            <w:r>
              <w:rPr>
                <w:kern w:val="0"/>
                <w:szCs w:val="21"/>
              </w:rPr>
              <w:t>学校有统一的生化固体废弃物标签</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7.4.3</w:t>
            </w:r>
          </w:p>
        </w:tc>
        <w:tc>
          <w:tcPr>
            <w:tcW w:w="5603" w:type="dxa"/>
            <w:vAlign w:val="center"/>
          </w:tcPr>
          <w:p>
            <w:pPr>
              <w:widowControl/>
              <w:spacing w:line="240" w:lineRule="exact"/>
              <w:jc w:val="left"/>
              <w:rPr>
                <w:kern w:val="0"/>
                <w:szCs w:val="21"/>
              </w:rPr>
            </w:pPr>
            <w:r>
              <w:rPr>
                <w:kern w:val="0"/>
                <w:szCs w:val="21"/>
              </w:rPr>
              <w:t>配备了生化固废分类容器（一般生化固废使用黄色塑料袋存放），刀片、移液枪头等尖锐物应使用纸板箱外包装以避免穿透伤人</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7.4.4</w:t>
            </w:r>
          </w:p>
        </w:tc>
        <w:tc>
          <w:tcPr>
            <w:tcW w:w="5603" w:type="dxa"/>
            <w:vAlign w:val="center"/>
          </w:tcPr>
          <w:p>
            <w:pPr>
              <w:widowControl/>
              <w:spacing w:line="240" w:lineRule="exact"/>
              <w:jc w:val="left"/>
              <w:rPr>
                <w:kern w:val="0"/>
                <w:szCs w:val="21"/>
              </w:rPr>
            </w:pPr>
            <w:r>
              <w:rPr>
                <w:kern w:val="0"/>
                <w:szCs w:val="21"/>
              </w:rPr>
              <w:t>对生物实验废弃物</w:t>
            </w:r>
            <w:r>
              <w:rPr>
                <w:szCs w:val="21"/>
              </w:rPr>
              <w:t>按照是否具有毒性和病原性</w:t>
            </w:r>
            <w:r>
              <w:rPr>
                <w:kern w:val="0"/>
                <w:szCs w:val="21"/>
              </w:rPr>
              <w:t>进行分类收集，并贴好标签。</w:t>
            </w:r>
            <w:r>
              <w:rPr>
                <w:szCs w:val="21"/>
              </w:rPr>
              <w:t>对有毒有害废弃物经高温高压处置后</w:t>
            </w:r>
            <w:r>
              <w:rPr>
                <w:kern w:val="0"/>
                <w:szCs w:val="21"/>
              </w:rPr>
              <w:t>及时送学校中转站或收集点</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7.4.</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实验动物实验结束后，送学校中转站或收集点，统一处理</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7.4.6</w:t>
            </w:r>
          </w:p>
        </w:tc>
        <w:tc>
          <w:tcPr>
            <w:tcW w:w="5603" w:type="dxa"/>
            <w:vAlign w:val="center"/>
          </w:tcPr>
          <w:p>
            <w:pPr>
              <w:widowControl/>
              <w:spacing w:line="240" w:lineRule="exact"/>
              <w:jc w:val="left"/>
              <w:rPr>
                <w:kern w:val="0"/>
                <w:szCs w:val="21"/>
              </w:rPr>
            </w:pPr>
            <w:r>
              <w:rPr>
                <w:kern w:val="0"/>
                <w:szCs w:val="21"/>
              </w:rPr>
              <w:t>与有资质的单位签约处置生化废弃物，有处置记录</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7.4.7</w:t>
            </w:r>
          </w:p>
        </w:tc>
        <w:tc>
          <w:tcPr>
            <w:tcW w:w="5603" w:type="dxa"/>
            <w:vAlign w:val="center"/>
          </w:tcPr>
          <w:p>
            <w:pPr>
              <w:widowControl/>
              <w:spacing w:line="240" w:lineRule="exact"/>
              <w:jc w:val="left"/>
              <w:rPr>
                <w:kern w:val="0"/>
                <w:szCs w:val="21"/>
              </w:rPr>
            </w:pPr>
            <w:r>
              <w:rPr>
                <w:kern w:val="0"/>
                <w:szCs w:val="21"/>
              </w:rPr>
              <w:t>有毒有害生化实验废弃物和生活垃圾不混放</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8</w:t>
            </w:r>
          </w:p>
        </w:tc>
        <w:tc>
          <w:tcPr>
            <w:tcW w:w="8494" w:type="dxa"/>
            <w:gridSpan w:val="7"/>
            <w:vAlign w:val="center"/>
          </w:tcPr>
          <w:p>
            <w:pPr>
              <w:widowControl/>
              <w:spacing w:line="240" w:lineRule="exact"/>
              <w:jc w:val="left"/>
              <w:rPr>
                <w:b/>
                <w:bCs/>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8.1</w:t>
            </w:r>
          </w:p>
        </w:tc>
        <w:tc>
          <w:tcPr>
            <w:tcW w:w="8494" w:type="dxa"/>
            <w:gridSpan w:val="7"/>
            <w:vAlign w:val="center"/>
          </w:tcPr>
          <w:p>
            <w:pPr>
              <w:widowControl/>
              <w:spacing w:line="240" w:lineRule="exact"/>
              <w:jc w:val="left"/>
              <w:rPr>
                <w:b/>
                <w:bCs/>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8.1.1</w:t>
            </w:r>
          </w:p>
        </w:tc>
        <w:tc>
          <w:tcPr>
            <w:tcW w:w="5603" w:type="dxa"/>
            <w:vAlign w:val="center"/>
          </w:tcPr>
          <w:p>
            <w:pPr>
              <w:widowControl/>
              <w:spacing w:line="240" w:lineRule="exact"/>
              <w:rPr>
                <w:b/>
                <w:kern w:val="0"/>
                <w:szCs w:val="21"/>
              </w:rPr>
            </w:pPr>
            <w:r>
              <w:rPr>
                <w:kern w:val="0"/>
                <w:szCs w:val="21"/>
              </w:rPr>
              <w:t>取得“辐射安全许可证”，并按规定在放射性核素种类和用量许可范围内开展实验</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8.1.2</w:t>
            </w:r>
          </w:p>
        </w:tc>
        <w:tc>
          <w:tcPr>
            <w:tcW w:w="5603" w:type="dxa"/>
            <w:vAlign w:val="center"/>
          </w:tcPr>
          <w:p>
            <w:pPr>
              <w:widowControl/>
              <w:spacing w:line="240" w:lineRule="exact"/>
              <w:jc w:val="left"/>
              <w:rPr>
                <w:kern w:val="0"/>
                <w:szCs w:val="21"/>
              </w:rPr>
            </w:pPr>
            <w:r>
              <w:rPr>
                <w:kern w:val="0"/>
                <w:szCs w:val="21"/>
              </w:rPr>
              <w:t>放射性操作人员经过了专门培训，有《辐射安全与防护培训学习合格证书》</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8.1.3</w:t>
            </w:r>
          </w:p>
        </w:tc>
        <w:tc>
          <w:tcPr>
            <w:tcW w:w="5603" w:type="dxa"/>
            <w:vAlign w:val="center"/>
          </w:tcPr>
          <w:p>
            <w:pPr>
              <w:widowControl/>
              <w:spacing w:line="240" w:lineRule="exact"/>
              <w:jc w:val="left"/>
              <w:rPr>
                <w:kern w:val="0"/>
                <w:szCs w:val="21"/>
              </w:rPr>
            </w:pPr>
            <w:r>
              <w:rPr>
                <w:kern w:val="0"/>
                <w:szCs w:val="21"/>
              </w:rPr>
              <w:t>涉辐人员按时参加职业体检</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8.1.4</w:t>
            </w:r>
          </w:p>
        </w:tc>
        <w:tc>
          <w:tcPr>
            <w:tcW w:w="5603" w:type="dxa"/>
            <w:vAlign w:val="center"/>
          </w:tcPr>
          <w:p>
            <w:pPr>
              <w:widowControl/>
              <w:spacing w:line="240" w:lineRule="exact"/>
              <w:jc w:val="left"/>
              <w:rPr>
                <w:kern w:val="0"/>
                <w:szCs w:val="21"/>
              </w:rPr>
            </w:pPr>
            <w:r>
              <w:rPr>
                <w:kern w:val="0"/>
                <w:szCs w:val="21"/>
              </w:rPr>
              <w:t>涉辐人员佩带个人剂量计，并按时进行剂量检测（3个月一次），提供合格的个人剂量检测报告</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8.2</w:t>
            </w:r>
          </w:p>
        </w:tc>
        <w:tc>
          <w:tcPr>
            <w:tcW w:w="8494" w:type="dxa"/>
            <w:gridSpan w:val="7"/>
            <w:vAlign w:val="center"/>
          </w:tcPr>
          <w:p>
            <w:pPr>
              <w:widowControl/>
              <w:spacing w:line="240" w:lineRule="exact"/>
              <w:jc w:val="left"/>
              <w:rPr>
                <w:b/>
                <w:bCs/>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8.2.1</w:t>
            </w:r>
          </w:p>
        </w:tc>
        <w:tc>
          <w:tcPr>
            <w:tcW w:w="5603" w:type="dxa"/>
            <w:vAlign w:val="center"/>
          </w:tcPr>
          <w:p>
            <w:pPr>
              <w:widowControl/>
              <w:spacing w:line="240" w:lineRule="exact"/>
              <w:jc w:val="left"/>
              <w:rPr>
                <w:kern w:val="0"/>
                <w:szCs w:val="21"/>
              </w:rPr>
            </w:pPr>
            <w:r>
              <w:rPr>
                <w:kern w:val="0"/>
                <w:szCs w:val="21"/>
              </w:rPr>
              <w:t>辐照设施设备具有能正常工作的安全连锁装置</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8.2.2</w:t>
            </w:r>
          </w:p>
        </w:tc>
        <w:tc>
          <w:tcPr>
            <w:tcW w:w="5603" w:type="dxa"/>
            <w:vAlign w:val="center"/>
          </w:tcPr>
          <w:p>
            <w:pPr>
              <w:widowControl/>
              <w:spacing w:line="240" w:lineRule="exact"/>
              <w:jc w:val="left"/>
              <w:rPr>
                <w:kern w:val="0"/>
                <w:szCs w:val="21"/>
              </w:rPr>
            </w:pPr>
            <w:r>
              <w:rPr>
                <w:kern w:val="0"/>
                <w:szCs w:val="21"/>
              </w:rPr>
              <w:t>放射源储存库双门双控，并有安全报警系统（与公安部门110联网）和视频监控系统</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8.2.3</w:t>
            </w:r>
          </w:p>
        </w:tc>
        <w:tc>
          <w:tcPr>
            <w:tcW w:w="5603" w:type="dxa"/>
            <w:vAlign w:val="center"/>
          </w:tcPr>
          <w:p>
            <w:pPr>
              <w:widowControl/>
              <w:spacing w:line="240" w:lineRule="exact"/>
              <w:jc w:val="left"/>
              <w:rPr>
                <w:kern w:val="0"/>
                <w:szCs w:val="21"/>
              </w:rPr>
            </w:pPr>
            <w:r>
              <w:rPr>
                <w:kern w:val="0"/>
                <w:szCs w:val="21"/>
              </w:rPr>
              <w:t>涉辐实验场所（放射性物质、X射线装置）有安全警示标识、警戒线和剂量报警仪</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8.2.4</w:t>
            </w:r>
          </w:p>
        </w:tc>
        <w:tc>
          <w:tcPr>
            <w:tcW w:w="5603" w:type="dxa"/>
            <w:vAlign w:val="center"/>
          </w:tcPr>
          <w:p>
            <w:pPr>
              <w:widowControl/>
              <w:spacing w:line="240" w:lineRule="exact"/>
              <w:jc w:val="left"/>
              <w:rPr>
                <w:kern w:val="0"/>
                <w:szCs w:val="21"/>
              </w:rPr>
            </w:pPr>
            <w:r>
              <w:rPr>
                <w:kern w:val="0"/>
                <w:szCs w:val="21"/>
              </w:rPr>
              <w:t>涉辐实验场所配备各种辐射防护器材和表面污染监测仪器设备，</w:t>
            </w:r>
            <w:r>
              <w:rPr>
                <w:szCs w:val="21"/>
              </w:rPr>
              <w:t>有合格的实验场所检测报告</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8.2.</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有专门存放放射性废弃物的容器和暂存库</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8.2.6</w:t>
            </w:r>
          </w:p>
        </w:tc>
        <w:tc>
          <w:tcPr>
            <w:tcW w:w="5603" w:type="dxa"/>
            <w:vAlign w:val="center"/>
          </w:tcPr>
          <w:p>
            <w:pPr>
              <w:widowControl/>
              <w:spacing w:line="240" w:lineRule="exact"/>
              <w:jc w:val="left"/>
              <w:rPr>
                <w:kern w:val="0"/>
                <w:szCs w:val="21"/>
              </w:rPr>
            </w:pPr>
            <w:r>
              <w:rPr>
                <w:kern w:val="0"/>
                <w:szCs w:val="21"/>
              </w:rPr>
              <w:t>非密封性放射性实验室有衰减池，</w:t>
            </w:r>
            <w:r>
              <w:rPr>
                <w:szCs w:val="21"/>
              </w:rPr>
              <w:t>或者有非密封性专门回收处置场所</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8.3</w:t>
            </w:r>
          </w:p>
        </w:tc>
        <w:tc>
          <w:tcPr>
            <w:tcW w:w="8494" w:type="dxa"/>
            <w:gridSpan w:val="7"/>
            <w:vAlign w:val="center"/>
          </w:tcPr>
          <w:p>
            <w:pPr>
              <w:widowControl/>
              <w:spacing w:line="240" w:lineRule="exact"/>
              <w:jc w:val="left"/>
              <w:rPr>
                <w:b/>
                <w:bCs/>
                <w:kern w:val="0"/>
                <w:szCs w:val="21"/>
              </w:rPr>
            </w:pPr>
            <w:r>
              <w:rPr>
                <w:b/>
                <w:kern w:val="0"/>
                <w:szCs w:val="21"/>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8.3.1</w:t>
            </w:r>
          </w:p>
        </w:tc>
        <w:tc>
          <w:tcPr>
            <w:tcW w:w="5603" w:type="dxa"/>
            <w:vAlign w:val="center"/>
          </w:tcPr>
          <w:p>
            <w:pPr>
              <w:widowControl/>
              <w:spacing w:line="240" w:lineRule="exact"/>
              <w:jc w:val="left"/>
              <w:rPr>
                <w:kern w:val="0"/>
                <w:szCs w:val="21"/>
              </w:rPr>
            </w:pPr>
            <w:r>
              <w:rPr>
                <w:kern w:val="0"/>
                <w:szCs w:val="21"/>
              </w:rPr>
              <w:t>放射源和放射性物质的采购和转让转移有学校及政府环保部门的审批备案材料</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8.3.2</w:t>
            </w:r>
          </w:p>
        </w:tc>
        <w:tc>
          <w:tcPr>
            <w:tcW w:w="5603" w:type="dxa"/>
            <w:vAlign w:val="center"/>
          </w:tcPr>
          <w:p>
            <w:pPr>
              <w:widowControl/>
              <w:spacing w:line="240" w:lineRule="exact"/>
              <w:jc w:val="left"/>
              <w:rPr>
                <w:kern w:val="0"/>
                <w:szCs w:val="21"/>
              </w:rPr>
            </w:pPr>
            <w:r>
              <w:rPr>
                <w:kern w:val="0"/>
                <w:szCs w:val="21"/>
              </w:rPr>
              <w:t>放射源和放射性物质的转移和运输有学校及公安部门的审批备案材料</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8.3.3</w:t>
            </w:r>
          </w:p>
        </w:tc>
        <w:tc>
          <w:tcPr>
            <w:tcW w:w="5603" w:type="dxa"/>
            <w:vAlign w:val="center"/>
          </w:tcPr>
          <w:p>
            <w:pPr>
              <w:widowControl/>
              <w:spacing w:line="240" w:lineRule="exact"/>
              <w:jc w:val="left"/>
              <w:rPr>
                <w:kern w:val="0"/>
                <w:szCs w:val="21"/>
              </w:rPr>
            </w:pPr>
            <w:r>
              <w:rPr>
                <w:kern w:val="0"/>
                <w:szCs w:val="21"/>
              </w:rPr>
              <w:t>放射源和放射性物质变更有及时登记台帐</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8.4</w:t>
            </w:r>
          </w:p>
        </w:tc>
        <w:tc>
          <w:tcPr>
            <w:tcW w:w="8494" w:type="dxa"/>
            <w:gridSpan w:val="7"/>
            <w:vAlign w:val="center"/>
          </w:tcPr>
          <w:p>
            <w:pPr>
              <w:widowControl/>
              <w:spacing w:line="240" w:lineRule="exact"/>
              <w:jc w:val="left"/>
              <w:rPr>
                <w:b/>
                <w:bCs/>
                <w:kern w:val="0"/>
                <w:szCs w:val="21"/>
              </w:rPr>
            </w:pPr>
            <w:r>
              <w:rPr>
                <w:b/>
                <w:kern w:val="0"/>
                <w:szCs w:val="21"/>
              </w:rPr>
              <w:t>放射性实验安全操作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8.4.1</w:t>
            </w:r>
          </w:p>
        </w:tc>
        <w:tc>
          <w:tcPr>
            <w:tcW w:w="5603" w:type="dxa"/>
            <w:vAlign w:val="center"/>
          </w:tcPr>
          <w:p>
            <w:pPr>
              <w:widowControl/>
              <w:spacing w:line="240" w:lineRule="exact"/>
              <w:jc w:val="left"/>
              <w:rPr>
                <w:kern w:val="0"/>
                <w:szCs w:val="21"/>
              </w:rPr>
            </w:pPr>
            <w:r>
              <w:rPr>
                <w:kern w:val="0"/>
                <w:szCs w:val="21"/>
              </w:rPr>
              <w:t>Г辐照装置有符合国家相关规定的操作规程、安保方案及应急预案，并遵照执行</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8.4.2</w:t>
            </w:r>
          </w:p>
        </w:tc>
        <w:tc>
          <w:tcPr>
            <w:tcW w:w="5603" w:type="dxa"/>
            <w:vAlign w:val="center"/>
          </w:tcPr>
          <w:p>
            <w:pPr>
              <w:widowControl/>
              <w:spacing w:line="240" w:lineRule="exact"/>
              <w:jc w:val="left"/>
              <w:rPr>
                <w:kern w:val="0"/>
                <w:szCs w:val="21"/>
              </w:rPr>
            </w:pPr>
            <w:r>
              <w:rPr>
                <w:kern w:val="0"/>
                <w:szCs w:val="21"/>
              </w:rPr>
              <w:t>电子加速器辐照装置有符合国家相关规定的操作规程、安保方案及应急预案，并遵照执行</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8.4.3</w:t>
            </w:r>
          </w:p>
        </w:tc>
        <w:tc>
          <w:tcPr>
            <w:tcW w:w="5603" w:type="dxa"/>
            <w:vAlign w:val="center"/>
          </w:tcPr>
          <w:p>
            <w:pPr>
              <w:widowControl/>
              <w:spacing w:line="240" w:lineRule="exact"/>
              <w:jc w:val="left"/>
              <w:rPr>
                <w:kern w:val="0"/>
                <w:szCs w:val="21"/>
              </w:rPr>
            </w:pPr>
            <w:r>
              <w:rPr>
                <w:kern w:val="0"/>
                <w:szCs w:val="21"/>
              </w:rPr>
              <w:t>射线探伤仪有符合国家相关规定的操作规程、安保方案及应急预案，并遵照执行</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8.4.4</w:t>
            </w:r>
          </w:p>
        </w:tc>
        <w:tc>
          <w:tcPr>
            <w:tcW w:w="5603" w:type="dxa"/>
            <w:vAlign w:val="center"/>
          </w:tcPr>
          <w:p>
            <w:pPr>
              <w:widowControl/>
              <w:spacing w:line="240" w:lineRule="exact"/>
              <w:jc w:val="left"/>
              <w:rPr>
                <w:kern w:val="0"/>
                <w:szCs w:val="21"/>
              </w:rPr>
            </w:pPr>
            <w:r>
              <w:rPr>
                <w:kern w:val="0"/>
                <w:szCs w:val="21"/>
              </w:rPr>
              <w:t>非密封性放射性实验操作有符合国家相关规定的操作规程，并遵照执行</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8.</w:t>
            </w:r>
            <w:r>
              <w:rPr>
                <w:rFonts w:hint="eastAsia"/>
                <w:b/>
                <w:kern w:val="0"/>
                <w:szCs w:val="21"/>
              </w:rPr>
              <w:t>5</w:t>
            </w:r>
          </w:p>
        </w:tc>
        <w:tc>
          <w:tcPr>
            <w:tcW w:w="8494" w:type="dxa"/>
            <w:gridSpan w:val="7"/>
            <w:vAlign w:val="center"/>
          </w:tcPr>
          <w:p>
            <w:pPr>
              <w:widowControl/>
              <w:spacing w:line="240" w:lineRule="exact"/>
              <w:jc w:val="left"/>
              <w:rPr>
                <w:b/>
                <w:bCs/>
                <w:kern w:val="0"/>
                <w:szCs w:val="21"/>
              </w:rPr>
            </w:pPr>
            <w:r>
              <w:rPr>
                <w:b/>
                <w:kern w:val="0"/>
                <w:szCs w:val="21"/>
              </w:rPr>
              <w:t>放射性实验废物的处置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w:t>
            </w:r>
            <w:r>
              <w:rPr>
                <w:rFonts w:hint="eastAsia"/>
                <w:kern w:val="0"/>
                <w:szCs w:val="21"/>
              </w:rPr>
              <w:t>5</w:t>
            </w:r>
            <w:r>
              <w:rPr>
                <w:kern w:val="0"/>
                <w:szCs w:val="21"/>
              </w:rPr>
              <w:t>.1</w:t>
            </w:r>
          </w:p>
        </w:tc>
        <w:tc>
          <w:tcPr>
            <w:tcW w:w="5603" w:type="dxa"/>
            <w:vAlign w:val="center"/>
          </w:tcPr>
          <w:p>
            <w:pPr>
              <w:widowControl/>
              <w:spacing w:line="240" w:lineRule="exact"/>
              <w:jc w:val="left"/>
              <w:rPr>
                <w:kern w:val="0"/>
                <w:szCs w:val="21"/>
              </w:rPr>
            </w:pPr>
            <w:r>
              <w:rPr>
                <w:kern w:val="0"/>
                <w:szCs w:val="21"/>
              </w:rPr>
              <w:t>报废含有放射源或可产生放射性的设备，需报学校管理部门同意，并按国家规定进行退役处置</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w:t>
            </w:r>
            <w:r>
              <w:rPr>
                <w:rFonts w:hint="eastAsia"/>
                <w:kern w:val="0"/>
                <w:szCs w:val="21"/>
              </w:rPr>
              <w:t>5</w:t>
            </w:r>
            <w:r>
              <w:rPr>
                <w:kern w:val="0"/>
                <w:szCs w:val="21"/>
              </w:rPr>
              <w:t>.2</w:t>
            </w:r>
          </w:p>
        </w:tc>
        <w:tc>
          <w:tcPr>
            <w:tcW w:w="5603" w:type="dxa"/>
            <w:vAlign w:val="center"/>
          </w:tcPr>
          <w:p>
            <w:pPr>
              <w:widowControl/>
              <w:spacing w:line="240" w:lineRule="exact"/>
              <w:jc w:val="left"/>
              <w:rPr>
                <w:kern w:val="0"/>
                <w:szCs w:val="21"/>
              </w:rPr>
            </w:pPr>
            <w:r>
              <w:rPr>
                <w:kern w:val="0"/>
                <w:szCs w:val="21"/>
              </w:rPr>
              <w:t>中、长半衰期核素固液废弃物有符合国家相关规定的处置方案或回收协议，并有处置记录</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w:t>
            </w:r>
            <w:r>
              <w:rPr>
                <w:rFonts w:hint="eastAsia"/>
                <w:kern w:val="0"/>
                <w:szCs w:val="21"/>
              </w:rPr>
              <w:t>5</w:t>
            </w:r>
            <w:r>
              <w:rPr>
                <w:kern w:val="0"/>
                <w:szCs w:val="21"/>
              </w:rPr>
              <w:t>.3</w:t>
            </w:r>
          </w:p>
        </w:tc>
        <w:tc>
          <w:tcPr>
            <w:tcW w:w="5603" w:type="dxa"/>
            <w:vAlign w:val="center"/>
          </w:tcPr>
          <w:p>
            <w:pPr>
              <w:widowControl/>
              <w:spacing w:line="240" w:lineRule="exact"/>
              <w:jc w:val="left"/>
              <w:rPr>
                <w:kern w:val="0"/>
                <w:szCs w:val="21"/>
              </w:rPr>
            </w:pPr>
            <w:r>
              <w:rPr>
                <w:kern w:val="0"/>
                <w:szCs w:val="21"/>
              </w:rPr>
              <w:t>短半衰期核素固液废弃物放置10个半衰期经检测达标后作为普通废物处理，并有处置记录</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8.6</w:t>
            </w:r>
          </w:p>
        </w:tc>
        <w:tc>
          <w:tcPr>
            <w:tcW w:w="8494" w:type="dxa"/>
            <w:gridSpan w:val="7"/>
            <w:vAlign w:val="center"/>
          </w:tcPr>
          <w:p>
            <w:pPr>
              <w:widowControl/>
              <w:spacing w:line="240" w:lineRule="exact"/>
              <w:jc w:val="left"/>
              <w:rPr>
                <w:b/>
                <w:bCs/>
                <w:kern w:val="0"/>
                <w:szCs w:val="21"/>
              </w:rPr>
            </w:pPr>
            <w:r>
              <w:rPr>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8.6.1</w:t>
            </w:r>
          </w:p>
        </w:tc>
        <w:tc>
          <w:tcPr>
            <w:tcW w:w="5603" w:type="dxa"/>
            <w:vAlign w:val="center"/>
          </w:tcPr>
          <w:p>
            <w:pPr>
              <w:widowControl/>
              <w:spacing w:line="240" w:lineRule="exact"/>
              <w:jc w:val="left"/>
              <w:rPr>
                <w:kern w:val="0"/>
                <w:szCs w:val="21"/>
              </w:rPr>
            </w:pPr>
            <w:r>
              <w:rPr>
                <w:bCs/>
                <w:kern w:val="0"/>
                <w:szCs w:val="21"/>
              </w:rPr>
              <w:t>有激光器的安全使用方法，激光设备有激光危害标识</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8.6.2</w:t>
            </w:r>
          </w:p>
        </w:tc>
        <w:tc>
          <w:tcPr>
            <w:tcW w:w="5603" w:type="dxa"/>
            <w:vAlign w:val="center"/>
          </w:tcPr>
          <w:p>
            <w:pPr>
              <w:widowControl/>
              <w:spacing w:line="240" w:lineRule="exact"/>
              <w:jc w:val="left"/>
              <w:rPr>
                <w:kern w:val="0"/>
                <w:szCs w:val="21"/>
              </w:rPr>
            </w:pPr>
            <w:r>
              <w:rPr>
                <w:bCs/>
                <w:kern w:val="0"/>
                <w:szCs w:val="21"/>
              </w:rPr>
              <w:t>功率较大的激光器有互锁装置、防护罩</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8.6.3</w:t>
            </w:r>
          </w:p>
        </w:tc>
        <w:tc>
          <w:tcPr>
            <w:tcW w:w="5603" w:type="dxa"/>
            <w:vAlign w:val="center"/>
          </w:tcPr>
          <w:p>
            <w:pPr>
              <w:widowControl/>
              <w:spacing w:line="240" w:lineRule="exact"/>
              <w:jc w:val="left"/>
              <w:rPr>
                <w:bCs/>
                <w:kern w:val="0"/>
                <w:szCs w:val="21"/>
              </w:rPr>
            </w:pPr>
            <w:r>
              <w:rPr>
                <w:bCs/>
                <w:kern w:val="0"/>
                <w:szCs w:val="21"/>
              </w:rPr>
              <w:t>操作人员有穿戴防护眼镜等防护用品</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8.6.4</w:t>
            </w:r>
          </w:p>
        </w:tc>
        <w:tc>
          <w:tcPr>
            <w:tcW w:w="5603" w:type="dxa"/>
            <w:vAlign w:val="center"/>
          </w:tcPr>
          <w:p>
            <w:pPr>
              <w:widowControl/>
              <w:spacing w:line="240" w:lineRule="exact"/>
              <w:jc w:val="left"/>
              <w:rPr>
                <w:bCs/>
                <w:kern w:val="0"/>
                <w:szCs w:val="21"/>
              </w:rPr>
            </w:pPr>
            <w:r>
              <w:rPr>
                <w:bCs/>
                <w:kern w:val="0"/>
                <w:szCs w:val="21"/>
              </w:rPr>
              <w:t>操作人员不带手表等能反光的物品</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8.6.</w:t>
            </w:r>
            <w:r>
              <w:rPr>
                <w:rFonts w:hint="eastAsia"/>
                <w:kern w:val="0"/>
                <w:szCs w:val="21"/>
              </w:rPr>
              <w:t>5</w:t>
            </w:r>
          </w:p>
        </w:tc>
        <w:tc>
          <w:tcPr>
            <w:tcW w:w="5603" w:type="dxa"/>
            <w:vAlign w:val="center"/>
          </w:tcPr>
          <w:p>
            <w:pPr>
              <w:widowControl/>
              <w:spacing w:line="240" w:lineRule="exact"/>
              <w:jc w:val="left"/>
              <w:rPr>
                <w:bCs/>
                <w:kern w:val="0"/>
                <w:szCs w:val="21"/>
              </w:rPr>
            </w:pPr>
            <w:r>
              <w:rPr>
                <w:bCs/>
                <w:kern w:val="0"/>
                <w:szCs w:val="21"/>
              </w:rPr>
              <w:t>激光照射方向不会对他人造成伤害</w:t>
            </w:r>
          </w:p>
        </w:tc>
        <w:tc>
          <w:tcPr>
            <w:tcW w:w="715" w:type="dxa"/>
            <w:vAlign w:val="top"/>
          </w:tcPr>
          <w:p>
            <w:pPr>
              <w:widowControl/>
              <w:spacing w:line="240" w:lineRule="exact"/>
              <w:jc w:val="center"/>
              <w:rPr>
                <w:b/>
                <w:bCs/>
                <w:kern w:val="0"/>
                <w:szCs w:val="21"/>
              </w:rPr>
            </w:pPr>
          </w:p>
        </w:tc>
        <w:tc>
          <w:tcPr>
            <w:tcW w:w="759" w:type="dxa"/>
            <w:vAlign w:val="top"/>
          </w:tcPr>
          <w:p>
            <w:pPr>
              <w:widowControl/>
              <w:spacing w:line="240" w:lineRule="exact"/>
              <w:jc w:val="center"/>
              <w:rPr>
                <w:b/>
                <w:bCs/>
                <w:kern w:val="0"/>
                <w:szCs w:val="21"/>
              </w:rPr>
            </w:pPr>
          </w:p>
        </w:tc>
        <w:tc>
          <w:tcPr>
            <w:tcW w:w="708" w:type="dxa"/>
            <w:gridSpan w:val="3"/>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9</w:t>
            </w:r>
          </w:p>
        </w:tc>
        <w:tc>
          <w:tcPr>
            <w:tcW w:w="8494" w:type="dxa"/>
            <w:gridSpan w:val="7"/>
            <w:vAlign w:val="center"/>
          </w:tcPr>
          <w:p>
            <w:pPr>
              <w:widowControl/>
              <w:spacing w:line="240" w:lineRule="exact"/>
              <w:jc w:val="left"/>
              <w:rPr>
                <w:b/>
                <w:bCs/>
                <w:kern w:val="0"/>
                <w:szCs w:val="21"/>
              </w:rPr>
            </w:pPr>
            <w:r>
              <w:rPr>
                <w:b/>
                <w:kern w:val="0"/>
                <w:szCs w:val="21"/>
              </w:rPr>
              <w:t>仪器设备安全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9.1</w:t>
            </w:r>
          </w:p>
        </w:tc>
        <w:tc>
          <w:tcPr>
            <w:tcW w:w="8494" w:type="dxa"/>
            <w:gridSpan w:val="7"/>
            <w:vAlign w:val="center"/>
          </w:tcPr>
          <w:p>
            <w:pPr>
              <w:widowControl/>
              <w:spacing w:line="240" w:lineRule="exact"/>
              <w:jc w:val="left"/>
              <w:rPr>
                <w:b/>
                <w:bCs/>
                <w:kern w:val="0"/>
                <w:szCs w:val="21"/>
              </w:rPr>
            </w:pP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9.1.1</w:t>
            </w:r>
          </w:p>
        </w:tc>
        <w:tc>
          <w:tcPr>
            <w:tcW w:w="5603" w:type="dxa"/>
            <w:vAlign w:val="center"/>
          </w:tcPr>
          <w:p>
            <w:pPr>
              <w:widowControl/>
              <w:spacing w:line="240" w:lineRule="exact"/>
              <w:jc w:val="left"/>
              <w:rPr>
                <w:kern w:val="0"/>
                <w:szCs w:val="21"/>
              </w:rPr>
            </w:pPr>
            <w:r>
              <w:rPr>
                <w:kern w:val="0"/>
                <w:szCs w:val="21"/>
              </w:rPr>
              <w:t>建立了设备台帐</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9.1.2</w:t>
            </w:r>
          </w:p>
        </w:tc>
        <w:tc>
          <w:tcPr>
            <w:tcW w:w="5603" w:type="dxa"/>
            <w:vAlign w:val="center"/>
          </w:tcPr>
          <w:p>
            <w:pPr>
              <w:widowControl/>
              <w:spacing w:line="240" w:lineRule="exact"/>
              <w:jc w:val="left"/>
              <w:rPr>
                <w:kern w:val="0"/>
                <w:szCs w:val="21"/>
              </w:rPr>
            </w:pPr>
            <w:r>
              <w:rPr>
                <w:kern w:val="0"/>
                <w:szCs w:val="21"/>
              </w:rPr>
              <w:t>高功率的设备与电路容量相匹配，仪器设备接地良好</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9.1.3</w:t>
            </w:r>
          </w:p>
        </w:tc>
        <w:tc>
          <w:tcPr>
            <w:tcW w:w="5603" w:type="dxa"/>
            <w:vAlign w:val="center"/>
          </w:tcPr>
          <w:p>
            <w:pPr>
              <w:widowControl/>
              <w:spacing w:line="240" w:lineRule="exact"/>
              <w:jc w:val="left"/>
              <w:rPr>
                <w:kern w:val="0"/>
                <w:szCs w:val="21"/>
              </w:rPr>
            </w:pPr>
            <w:r>
              <w:rPr>
                <w:kern w:val="0"/>
                <w:szCs w:val="21"/>
              </w:rPr>
              <w:t>仪器设备使用完后，及时关闭电源，包括电脑显示器电源</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9.1.4</w:t>
            </w:r>
          </w:p>
        </w:tc>
        <w:tc>
          <w:tcPr>
            <w:tcW w:w="5603" w:type="dxa"/>
            <w:vAlign w:val="center"/>
          </w:tcPr>
          <w:p>
            <w:pPr>
              <w:widowControl/>
              <w:spacing w:line="240" w:lineRule="exact"/>
              <w:jc w:val="left"/>
              <w:rPr>
                <w:kern w:val="0"/>
                <w:szCs w:val="21"/>
              </w:rPr>
            </w:pPr>
            <w:r>
              <w:rPr>
                <w:kern w:val="0"/>
                <w:szCs w:val="21"/>
              </w:rPr>
              <w:t>有仪器设备运行、维护的记录</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9.1.</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对于高温、高压、高速运动、电磁辐射等特殊设备，对使用者有培训要求，有安全操作规程上墙，有安全警示标识和</w:t>
            </w:r>
            <w:r>
              <w:rPr>
                <w:szCs w:val="21"/>
              </w:rPr>
              <w:t>安全警示线（黄色）</w:t>
            </w:r>
            <w:r>
              <w:rPr>
                <w:kern w:val="0"/>
                <w:szCs w:val="21"/>
              </w:rPr>
              <w:t>，并配备相应安全防护设施（如防护罩、防护栏、自屏蔽设施等）</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9.1.6</w:t>
            </w:r>
          </w:p>
        </w:tc>
        <w:tc>
          <w:tcPr>
            <w:tcW w:w="5603" w:type="dxa"/>
            <w:vAlign w:val="center"/>
          </w:tcPr>
          <w:p>
            <w:pPr>
              <w:widowControl/>
              <w:spacing w:line="240" w:lineRule="exact"/>
              <w:jc w:val="left"/>
              <w:rPr>
                <w:kern w:val="0"/>
                <w:szCs w:val="21"/>
              </w:rPr>
            </w:pPr>
            <w:r>
              <w:rPr>
                <w:szCs w:val="21"/>
              </w:rPr>
              <w:t>对于超高速离心机，需要放置在离心室，在离心过程中，工作人员保持合理安全距离</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9.1.7</w:t>
            </w:r>
          </w:p>
        </w:tc>
        <w:tc>
          <w:tcPr>
            <w:tcW w:w="5603" w:type="dxa"/>
            <w:vAlign w:val="center"/>
          </w:tcPr>
          <w:p>
            <w:pPr>
              <w:widowControl/>
              <w:spacing w:line="240" w:lineRule="exact"/>
              <w:jc w:val="left"/>
              <w:rPr>
                <w:kern w:val="0"/>
                <w:szCs w:val="21"/>
              </w:rPr>
            </w:pPr>
            <w:r>
              <w:rPr>
                <w:kern w:val="0"/>
                <w:szCs w:val="21"/>
              </w:rPr>
              <w:t>无电脑、空调、饮水机等随意开机过夜现象</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9.1.8</w:t>
            </w:r>
          </w:p>
        </w:tc>
        <w:tc>
          <w:tcPr>
            <w:tcW w:w="5603" w:type="dxa"/>
            <w:vAlign w:val="center"/>
          </w:tcPr>
          <w:p>
            <w:pPr>
              <w:widowControl/>
              <w:spacing w:line="240" w:lineRule="exact"/>
              <w:jc w:val="left"/>
              <w:rPr>
                <w:kern w:val="0"/>
                <w:szCs w:val="21"/>
              </w:rPr>
            </w:pPr>
            <w:r>
              <w:rPr>
                <w:kern w:val="0"/>
                <w:szCs w:val="21"/>
              </w:rPr>
              <w:t>对于不能断电的特殊仪器设备，采取了必要的防护措施（如双路供电、不间断电源、监控报警等）</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9.1.9</w:t>
            </w:r>
          </w:p>
        </w:tc>
        <w:tc>
          <w:tcPr>
            <w:tcW w:w="5603" w:type="dxa"/>
            <w:vAlign w:val="center"/>
          </w:tcPr>
          <w:p>
            <w:pPr>
              <w:widowControl/>
              <w:spacing w:line="240" w:lineRule="exact"/>
              <w:jc w:val="left"/>
              <w:rPr>
                <w:kern w:val="0"/>
                <w:szCs w:val="21"/>
              </w:rPr>
            </w:pPr>
            <w:r>
              <w:rPr>
                <w:kern w:val="0"/>
                <w:szCs w:val="21"/>
              </w:rPr>
              <w:t>电子天平不放在阳光直射的地方，且用后及时清理</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9.</w:t>
            </w:r>
            <w:r>
              <w:rPr>
                <w:rFonts w:hint="eastAsia"/>
                <w:b/>
                <w:kern w:val="0"/>
                <w:szCs w:val="21"/>
              </w:rPr>
              <w:t>2</w:t>
            </w:r>
          </w:p>
        </w:tc>
        <w:tc>
          <w:tcPr>
            <w:tcW w:w="8494" w:type="dxa"/>
            <w:gridSpan w:val="7"/>
            <w:vAlign w:val="center"/>
          </w:tcPr>
          <w:p>
            <w:pPr>
              <w:widowControl/>
              <w:spacing w:line="240" w:lineRule="exact"/>
              <w:jc w:val="left"/>
              <w:rPr>
                <w:b/>
                <w:bCs/>
                <w:kern w:val="0"/>
                <w:szCs w:val="21"/>
              </w:rPr>
            </w:pPr>
            <w:r>
              <w:rPr>
                <w:b/>
                <w:kern w:val="0"/>
                <w:szCs w:val="21"/>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2</w:t>
            </w:r>
            <w:r>
              <w:rPr>
                <w:kern w:val="0"/>
                <w:szCs w:val="21"/>
              </w:rPr>
              <w:t>.1</w:t>
            </w:r>
          </w:p>
        </w:tc>
        <w:tc>
          <w:tcPr>
            <w:tcW w:w="5603" w:type="dxa"/>
            <w:vAlign w:val="center"/>
          </w:tcPr>
          <w:p>
            <w:pPr>
              <w:widowControl/>
              <w:spacing w:line="240" w:lineRule="exact"/>
              <w:jc w:val="left"/>
              <w:rPr>
                <w:kern w:val="0"/>
                <w:szCs w:val="21"/>
              </w:rPr>
            </w:pPr>
            <w:r>
              <w:rPr>
                <w:kern w:val="0"/>
                <w:szCs w:val="21"/>
              </w:rPr>
              <w:t>贮存危险化学品的冰箱为防爆冰箱或经过防爆改造的冰箱，禁止使用无霜冰箱储存易燃易爆试剂</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2</w:t>
            </w:r>
            <w:r>
              <w:rPr>
                <w:kern w:val="0"/>
                <w:szCs w:val="21"/>
              </w:rPr>
              <w:t>.2</w:t>
            </w:r>
          </w:p>
        </w:tc>
        <w:tc>
          <w:tcPr>
            <w:tcW w:w="5603" w:type="dxa"/>
            <w:vAlign w:val="center"/>
          </w:tcPr>
          <w:p>
            <w:pPr>
              <w:widowControl/>
              <w:spacing w:line="240" w:lineRule="exact"/>
              <w:jc w:val="left"/>
              <w:rPr>
                <w:kern w:val="0"/>
                <w:szCs w:val="21"/>
              </w:rPr>
            </w:pPr>
            <w:r>
              <w:rPr>
                <w:kern w:val="0"/>
                <w:szCs w:val="21"/>
              </w:rPr>
              <w:t>冰箱内存放的物品必须标识明确（包括品名、使用人、日期等），并经常清理，有清理记录</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2</w:t>
            </w:r>
            <w:r>
              <w:rPr>
                <w:kern w:val="0"/>
                <w:szCs w:val="21"/>
              </w:rPr>
              <w:t>.3</w:t>
            </w:r>
          </w:p>
        </w:tc>
        <w:tc>
          <w:tcPr>
            <w:tcW w:w="5603" w:type="dxa"/>
            <w:vAlign w:val="center"/>
          </w:tcPr>
          <w:p>
            <w:pPr>
              <w:widowControl/>
              <w:spacing w:line="240" w:lineRule="exact"/>
              <w:jc w:val="left"/>
              <w:rPr>
                <w:kern w:val="0"/>
                <w:szCs w:val="21"/>
              </w:rPr>
            </w:pPr>
            <w:r>
              <w:rPr>
                <w:kern w:val="0"/>
                <w:szCs w:val="21"/>
              </w:rPr>
              <w:t>冰箱内储存试剂必须密封好</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2</w:t>
            </w:r>
            <w:r>
              <w:rPr>
                <w:kern w:val="0"/>
                <w:szCs w:val="21"/>
              </w:rPr>
              <w:t>.4</w:t>
            </w:r>
          </w:p>
        </w:tc>
        <w:tc>
          <w:tcPr>
            <w:tcW w:w="5603" w:type="dxa"/>
            <w:vAlign w:val="center"/>
          </w:tcPr>
          <w:p>
            <w:pPr>
              <w:widowControl/>
              <w:spacing w:line="240" w:lineRule="exact"/>
              <w:jc w:val="left"/>
              <w:rPr>
                <w:kern w:val="0"/>
                <w:szCs w:val="21"/>
              </w:rPr>
            </w:pPr>
            <w:r>
              <w:rPr>
                <w:kern w:val="0"/>
                <w:szCs w:val="21"/>
              </w:rPr>
              <w:t>无冰箱超期服役现象（一般使用期限控制为10年）</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2</w:t>
            </w:r>
            <w:r>
              <w:rPr>
                <w:kern w:val="0"/>
                <w:szCs w:val="21"/>
              </w:rPr>
              <w:t>.</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不在冰箱周围堆放杂物，影响散热</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2</w:t>
            </w:r>
            <w:r>
              <w:rPr>
                <w:kern w:val="0"/>
                <w:szCs w:val="21"/>
              </w:rPr>
              <w:t>.6</w:t>
            </w:r>
          </w:p>
        </w:tc>
        <w:tc>
          <w:tcPr>
            <w:tcW w:w="5603" w:type="dxa"/>
            <w:vAlign w:val="center"/>
          </w:tcPr>
          <w:p>
            <w:pPr>
              <w:widowControl/>
              <w:spacing w:line="240" w:lineRule="exact"/>
              <w:jc w:val="left"/>
              <w:rPr>
                <w:kern w:val="0"/>
                <w:szCs w:val="21"/>
              </w:rPr>
            </w:pPr>
            <w:r>
              <w:rPr>
                <w:kern w:val="0"/>
                <w:szCs w:val="21"/>
              </w:rPr>
              <w:t>实验室冰箱中不放置食品</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9.</w:t>
            </w:r>
            <w:r>
              <w:rPr>
                <w:rFonts w:hint="eastAsia"/>
                <w:b/>
                <w:kern w:val="0"/>
                <w:szCs w:val="21"/>
              </w:rPr>
              <w:t>3</w:t>
            </w:r>
          </w:p>
        </w:tc>
        <w:tc>
          <w:tcPr>
            <w:tcW w:w="8494" w:type="dxa"/>
            <w:gridSpan w:val="7"/>
            <w:vAlign w:val="center"/>
          </w:tcPr>
          <w:p>
            <w:pPr>
              <w:widowControl/>
              <w:spacing w:line="240" w:lineRule="exact"/>
              <w:jc w:val="left"/>
              <w:rPr>
                <w:b/>
                <w:bCs/>
                <w:kern w:val="0"/>
                <w:szCs w:val="21"/>
              </w:rPr>
            </w:pPr>
            <w:r>
              <w:rPr>
                <w:b/>
                <w:kern w:val="0"/>
                <w:szCs w:val="21"/>
              </w:rPr>
              <w:t>烘箱与电阻炉管理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3</w:t>
            </w:r>
            <w:r>
              <w:rPr>
                <w:kern w:val="0"/>
                <w:szCs w:val="21"/>
              </w:rPr>
              <w:t>.1</w:t>
            </w:r>
          </w:p>
        </w:tc>
        <w:tc>
          <w:tcPr>
            <w:tcW w:w="5603" w:type="dxa"/>
            <w:vAlign w:val="center"/>
          </w:tcPr>
          <w:p>
            <w:pPr>
              <w:widowControl/>
              <w:spacing w:line="240" w:lineRule="exact"/>
              <w:jc w:val="left"/>
              <w:rPr>
                <w:kern w:val="0"/>
                <w:szCs w:val="21"/>
              </w:rPr>
            </w:pPr>
            <w:r>
              <w:rPr>
                <w:kern w:val="0"/>
                <w:szCs w:val="21"/>
              </w:rPr>
              <w:t>烘箱、电阻炉无超期服役现象（一般使用期限控制为12年）</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3</w:t>
            </w:r>
            <w:r>
              <w:rPr>
                <w:kern w:val="0"/>
                <w:szCs w:val="21"/>
              </w:rPr>
              <w:t>.2</w:t>
            </w:r>
          </w:p>
        </w:tc>
        <w:tc>
          <w:tcPr>
            <w:tcW w:w="5603" w:type="dxa"/>
            <w:vAlign w:val="center"/>
          </w:tcPr>
          <w:p>
            <w:pPr>
              <w:widowControl/>
              <w:spacing w:line="240" w:lineRule="exact"/>
              <w:jc w:val="left"/>
              <w:rPr>
                <w:kern w:val="0"/>
                <w:szCs w:val="21"/>
              </w:rPr>
            </w:pPr>
            <w:r>
              <w:rPr>
                <w:kern w:val="0"/>
                <w:szCs w:val="21"/>
              </w:rPr>
              <w:t>不使用有故障、破损的烘箱、电阻炉</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3</w:t>
            </w:r>
            <w:r>
              <w:rPr>
                <w:kern w:val="0"/>
                <w:szCs w:val="21"/>
              </w:rPr>
              <w:t>.3</w:t>
            </w:r>
          </w:p>
        </w:tc>
        <w:tc>
          <w:tcPr>
            <w:tcW w:w="5603" w:type="dxa"/>
            <w:vAlign w:val="center"/>
          </w:tcPr>
          <w:p>
            <w:pPr>
              <w:widowControl/>
              <w:spacing w:line="240" w:lineRule="exact"/>
              <w:jc w:val="left"/>
              <w:rPr>
                <w:kern w:val="0"/>
                <w:szCs w:val="21"/>
              </w:rPr>
            </w:pPr>
            <w:r>
              <w:rPr>
                <w:kern w:val="0"/>
                <w:szCs w:val="21"/>
              </w:rPr>
              <w:t>不在烘箱等加热设备内烘烤易燃易爆化学试剂、塑料等易燃物品、不使用塑料筐盛放实验物品在烘箱等加热设备内烘烤</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3</w:t>
            </w:r>
            <w:r>
              <w:rPr>
                <w:kern w:val="0"/>
                <w:szCs w:val="21"/>
              </w:rPr>
              <w:t>.4</w:t>
            </w:r>
          </w:p>
        </w:tc>
        <w:tc>
          <w:tcPr>
            <w:tcW w:w="5603" w:type="dxa"/>
            <w:vAlign w:val="center"/>
          </w:tcPr>
          <w:p>
            <w:pPr>
              <w:widowControl/>
              <w:spacing w:line="240" w:lineRule="exact"/>
              <w:jc w:val="left"/>
              <w:rPr>
                <w:kern w:val="0"/>
                <w:szCs w:val="21"/>
              </w:rPr>
            </w:pPr>
            <w:r>
              <w:rPr>
                <w:kern w:val="0"/>
                <w:szCs w:val="21"/>
              </w:rPr>
              <w:t>烘箱、电阻炉等附近不存放气体钢瓶、易燃易爆化学品</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3</w:t>
            </w:r>
            <w:r>
              <w:rPr>
                <w:kern w:val="0"/>
                <w:szCs w:val="21"/>
              </w:rPr>
              <w:t>.</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烘箱、电阻炉等加热设备周围要有一定的散热空间，不存在堆放杂物，影响散热的现象</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3</w:t>
            </w:r>
            <w:r>
              <w:rPr>
                <w:kern w:val="0"/>
                <w:szCs w:val="21"/>
              </w:rPr>
              <w:t>.6</w:t>
            </w:r>
          </w:p>
        </w:tc>
        <w:tc>
          <w:tcPr>
            <w:tcW w:w="5603" w:type="dxa"/>
            <w:vAlign w:val="center"/>
          </w:tcPr>
          <w:p>
            <w:pPr>
              <w:widowControl/>
              <w:spacing w:line="240" w:lineRule="exact"/>
              <w:jc w:val="left"/>
              <w:rPr>
                <w:kern w:val="0"/>
                <w:szCs w:val="21"/>
              </w:rPr>
            </w:pPr>
            <w:r>
              <w:rPr>
                <w:kern w:val="0"/>
                <w:szCs w:val="21"/>
              </w:rPr>
              <w:t>使用烘箱、电阻炉等加热设备时有人值守（或10-14分钟检查一次）</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3</w:t>
            </w:r>
            <w:r>
              <w:rPr>
                <w:kern w:val="0"/>
                <w:szCs w:val="21"/>
              </w:rPr>
              <w:t>.7</w:t>
            </w:r>
          </w:p>
        </w:tc>
        <w:tc>
          <w:tcPr>
            <w:tcW w:w="5603" w:type="dxa"/>
            <w:vAlign w:val="center"/>
          </w:tcPr>
          <w:p>
            <w:pPr>
              <w:widowControl/>
              <w:spacing w:line="240" w:lineRule="exact"/>
              <w:jc w:val="left"/>
              <w:rPr>
                <w:kern w:val="0"/>
                <w:szCs w:val="21"/>
              </w:rPr>
            </w:pPr>
            <w:r>
              <w:rPr>
                <w:kern w:val="0"/>
                <w:szCs w:val="21"/>
              </w:rPr>
              <w:t>无烘箱位置放置过低、影响物品取用的现象</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3</w:t>
            </w:r>
            <w:r>
              <w:rPr>
                <w:kern w:val="0"/>
                <w:szCs w:val="21"/>
              </w:rPr>
              <w:t>.8</w:t>
            </w:r>
          </w:p>
        </w:tc>
        <w:tc>
          <w:tcPr>
            <w:tcW w:w="5603" w:type="dxa"/>
            <w:vAlign w:val="center"/>
          </w:tcPr>
          <w:p>
            <w:pPr>
              <w:widowControl/>
              <w:spacing w:line="240" w:lineRule="exact"/>
              <w:jc w:val="left"/>
              <w:rPr>
                <w:kern w:val="0"/>
                <w:szCs w:val="21"/>
              </w:rPr>
            </w:pPr>
            <w:r>
              <w:rPr>
                <w:kern w:val="0"/>
                <w:szCs w:val="21"/>
              </w:rPr>
              <w:t>烘箱、电阻炉等不直接放置在木桌、木板等易燃物品上</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w:t>
            </w:r>
            <w:r>
              <w:rPr>
                <w:rFonts w:hint="eastAsia"/>
                <w:kern w:val="0"/>
                <w:szCs w:val="21"/>
              </w:rPr>
              <w:t>3</w:t>
            </w:r>
            <w:r>
              <w:rPr>
                <w:kern w:val="0"/>
                <w:szCs w:val="21"/>
              </w:rPr>
              <w:t>.9</w:t>
            </w:r>
          </w:p>
        </w:tc>
        <w:tc>
          <w:tcPr>
            <w:tcW w:w="5603" w:type="dxa"/>
            <w:vAlign w:val="center"/>
          </w:tcPr>
          <w:p>
            <w:pPr>
              <w:widowControl/>
              <w:spacing w:line="240" w:lineRule="exact"/>
              <w:jc w:val="left"/>
              <w:rPr>
                <w:kern w:val="0"/>
                <w:szCs w:val="21"/>
              </w:rPr>
            </w:pPr>
            <w:r>
              <w:rPr>
                <w:kern w:val="0"/>
                <w:szCs w:val="21"/>
              </w:rPr>
              <w:t>加热设备边上不能放置冰箱、气体钢瓶等</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9.4</w:t>
            </w:r>
          </w:p>
        </w:tc>
        <w:tc>
          <w:tcPr>
            <w:tcW w:w="8494" w:type="dxa"/>
            <w:gridSpan w:val="7"/>
            <w:vAlign w:val="center"/>
          </w:tcPr>
          <w:p>
            <w:pPr>
              <w:widowControl/>
              <w:spacing w:line="240" w:lineRule="exact"/>
              <w:jc w:val="left"/>
              <w:rPr>
                <w:b/>
                <w:bCs/>
                <w:kern w:val="0"/>
                <w:szCs w:val="21"/>
              </w:rPr>
            </w:pPr>
            <w:r>
              <w:rPr>
                <w:b/>
                <w:kern w:val="0"/>
                <w:szCs w:val="21"/>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9.4.1</w:t>
            </w:r>
          </w:p>
        </w:tc>
        <w:tc>
          <w:tcPr>
            <w:tcW w:w="5603" w:type="dxa"/>
            <w:vAlign w:val="center"/>
          </w:tcPr>
          <w:p>
            <w:pPr>
              <w:widowControl/>
              <w:spacing w:line="240" w:lineRule="exact"/>
              <w:jc w:val="left"/>
              <w:rPr>
                <w:kern w:val="0"/>
                <w:szCs w:val="21"/>
              </w:rPr>
            </w:pPr>
            <w:r>
              <w:rPr>
                <w:kern w:val="0"/>
                <w:szCs w:val="21"/>
              </w:rPr>
              <w:t>未经学校安全管理部门许可不使用明火电炉</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567" w:type="dxa"/>
            <w:gridSpan w:val="2"/>
            <w:vAlign w:val="top"/>
          </w:tcPr>
          <w:p>
            <w:pPr>
              <w:widowControl/>
              <w:spacing w:line="240" w:lineRule="exact"/>
              <w:jc w:val="center"/>
              <w:rPr>
                <w:b/>
                <w:bCs/>
                <w:kern w:val="0"/>
                <w:szCs w:val="21"/>
              </w:rPr>
            </w:pPr>
          </w:p>
        </w:tc>
        <w:tc>
          <w:tcPr>
            <w:tcW w:w="709" w:type="dxa"/>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9.4.2</w:t>
            </w:r>
          </w:p>
        </w:tc>
        <w:tc>
          <w:tcPr>
            <w:tcW w:w="5603" w:type="dxa"/>
            <w:vAlign w:val="center"/>
          </w:tcPr>
          <w:p>
            <w:pPr>
              <w:widowControl/>
              <w:spacing w:line="240" w:lineRule="exact"/>
              <w:jc w:val="left"/>
              <w:rPr>
                <w:kern w:val="0"/>
                <w:szCs w:val="21"/>
              </w:rPr>
            </w:pPr>
            <w:r>
              <w:rPr>
                <w:kern w:val="0"/>
                <w:szCs w:val="21"/>
              </w:rPr>
              <w:t>有许可证使用明火电炉的，其使用位置周围无易燃物品，并配备了灭火器、砂桶等灭火设施</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1276" w:type="dxa"/>
            <w:gridSpan w:val="3"/>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9.4.3</w:t>
            </w:r>
          </w:p>
        </w:tc>
        <w:tc>
          <w:tcPr>
            <w:tcW w:w="5603" w:type="dxa"/>
            <w:vAlign w:val="center"/>
          </w:tcPr>
          <w:p>
            <w:pPr>
              <w:widowControl/>
              <w:spacing w:line="240" w:lineRule="exact"/>
              <w:jc w:val="left"/>
              <w:rPr>
                <w:kern w:val="0"/>
                <w:szCs w:val="21"/>
              </w:rPr>
            </w:pPr>
            <w:r>
              <w:rPr>
                <w:kern w:val="0"/>
                <w:szCs w:val="21"/>
              </w:rPr>
              <w:t>不使用明火电炉加热易燃易爆溶剂</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9.4.4</w:t>
            </w:r>
          </w:p>
        </w:tc>
        <w:tc>
          <w:tcPr>
            <w:tcW w:w="5603" w:type="dxa"/>
            <w:vAlign w:val="center"/>
          </w:tcPr>
          <w:p>
            <w:pPr>
              <w:widowControl/>
              <w:spacing w:line="240" w:lineRule="exact"/>
              <w:jc w:val="left"/>
              <w:rPr>
                <w:kern w:val="0"/>
                <w:szCs w:val="21"/>
              </w:rPr>
            </w:pPr>
            <w:r>
              <w:rPr>
                <w:kern w:val="0"/>
                <w:szCs w:val="21"/>
              </w:rPr>
              <w:t>明火电炉、电吹风、电热枪、电烙铁等用毕，及时拔除电源插头</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rPr>
                <w:b/>
                <w:kern w:val="0"/>
                <w:szCs w:val="21"/>
              </w:rPr>
            </w:pPr>
            <w:r>
              <w:rPr>
                <w:b/>
                <w:kern w:val="0"/>
                <w:szCs w:val="21"/>
              </w:rPr>
              <w:t>10</w:t>
            </w:r>
          </w:p>
        </w:tc>
        <w:tc>
          <w:tcPr>
            <w:tcW w:w="8494" w:type="dxa"/>
            <w:gridSpan w:val="7"/>
            <w:vAlign w:val="center"/>
          </w:tcPr>
          <w:p>
            <w:pPr>
              <w:widowControl/>
              <w:spacing w:line="240" w:lineRule="exact"/>
              <w:jc w:val="left"/>
              <w:rPr>
                <w:b/>
                <w:bCs/>
                <w:kern w:val="0"/>
                <w:szCs w:val="21"/>
              </w:rPr>
            </w:pPr>
            <w:r>
              <w:rPr>
                <w:b/>
                <w:kern w:val="0"/>
                <w:szCs w:val="21"/>
              </w:rPr>
              <w:t>个人防护与其它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10.1</w:t>
            </w:r>
          </w:p>
        </w:tc>
        <w:tc>
          <w:tcPr>
            <w:tcW w:w="8494" w:type="dxa"/>
            <w:gridSpan w:val="7"/>
            <w:vAlign w:val="center"/>
          </w:tcPr>
          <w:p>
            <w:pPr>
              <w:widowControl/>
              <w:spacing w:line="240" w:lineRule="exact"/>
              <w:jc w:val="left"/>
              <w:rPr>
                <w:b/>
                <w:bCs/>
                <w:kern w:val="0"/>
                <w:szCs w:val="21"/>
              </w:rPr>
            </w:pPr>
            <w:r>
              <w:rPr>
                <w:b/>
                <w:kern w:val="0"/>
                <w:szCs w:val="21"/>
              </w:rPr>
              <w:t>正确选用防护用品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10.1.1</w:t>
            </w:r>
          </w:p>
        </w:tc>
        <w:tc>
          <w:tcPr>
            <w:tcW w:w="5603" w:type="dxa"/>
            <w:vAlign w:val="center"/>
          </w:tcPr>
          <w:p>
            <w:pPr>
              <w:widowControl/>
              <w:spacing w:line="240" w:lineRule="exact"/>
              <w:jc w:val="left"/>
              <w:rPr>
                <w:kern w:val="0"/>
                <w:szCs w:val="21"/>
              </w:rPr>
            </w:pPr>
            <w:r>
              <w:rPr>
                <w:kern w:val="0"/>
                <w:szCs w:val="21"/>
              </w:rPr>
              <w:t>凡进入实验室人员需穿长袖实验服或防护服</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10.1.2</w:t>
            </w:r>
          </w:p>
        </w:tc>
        <w:tc>
          <w:tcPr>
            <w:tcW w:w="5603" w:type="dxa"/>
            <w:vAlign w:val="center"/>
          </w:tcPr>
          <w:p>
            <w:pPr>
              <w:widowControl/>
              <w:spacing w:line="240" w:lineRule="exact"/>
              <w:jc w:val="left"/>
              <w:rPr>
                <w:kern w:val="0"/>
                <w:szCs w:val="21"/>
              </w:rPr>
            </w:pPr>
            <w:r>
              <w:rPr>
                <w:kern w:val="0"/>
                <w:szCs w:val="21"/>
              </w:rPr>
              <w:t>按需要佩戴防护眼镜（如进行化学实验、有危险的机械操作等）</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10.1.3</w:t>
            </w:r>
          </w:p>
        </w:tc>
        <w:tc>
          <w:tcPr>
            <w:tcW w:w="5603" w:type="dxa"/>
            <w:vAlign w:val="center"/>
          </w:tcPr>
          <w:p>
            <w:pPr>
              <w:widowControl/>
              <w:spacing w:line="240" w:lineRule="exact"/>
              <w:jc w:val="left"/>
              <w:rPr>
                <w:kern w:val="0"/>
                <w:szCs w:val="21"/>
              </w:rPr>
            </w:pPr>
            <w:r>
              <w:rPr>
                <w:kern w:val="0"/>
                <w:szCs w:val="21"/>
              </w:rPr>
              <w:t>涉及化学和高温实验时，不得佩戴隐形眼镜</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10.1.4</w:t>
            </w:r>
          </w:p>
        </w:tc>
        <w:tc>
          <w:tcPr>
            <w:tcW w:w="5603" w:type="dxa"/>
            <w:vAlign w:val="center"/>
          </w:tcPr>
          <w:p>
            <w:pPr>
              <w:widowControl/>
              <w:spacing w:line="240" w:lineRule="exact"/>
              <w:jc w:val="left"/>
              <w:rPr>
                <w:kern w:val="0"/>
                <w:szCs w:val="21"/>
              </w:rPr>
            </w:pPr>
            <w:r>
              <w:rPr>
                <w:kern w:val="0"/>
                <w:szCs w:val="21"/>
              </w:rPr>
              <w:t>特殊场所按需佩戴安全帽、防护帽，无长发散露在外的现象</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10.1.</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按需要佩戴防护手套（涉及不同的有害化学物质、病原微生物、高温和低温等），并正确选择不同种类和材质的手套</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10.1.6</w:t>
            </w:r>
          </w:p>
        </w:tc>
        <w:tc>
          <w:tcPr>
            <w:tcW w:w="5603" w:type="dxa"/>
            <w:vAlign w:val="center"/>
          </w:tcPr>
          <w:p>
            <w:pPr>
              <w:widowControl/>
              <w:spacing w:line="240" w:lineRule="exact"/>
              <w:jc w:val="left"/>
              <w:rPr>
                <w:kern w:val="0"/>
                <w:szCs w:val="21"/>
              </w:rPr>
            </w:pPr>
            <w:r>
              <w:rPr>
                <w:kern w:val="0"/>
                <w:szCs w:val="21"/>
              </w:rPr>
              <w:t>在特殊的实验室配备和使用呼吸器或面罩（如有挥发性毒物、溅射危险等），并正确选择种类</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10.1.7</w:t>
            </w:r>
          </w:p>
        </w:tc>
        <w:tc>
          <w:tcPr>
            <w:tcW w:w="5603" w:type="dxa"/>
            <w:vAlign w:val="center"/>
          </w:tcPr>
          <w:p>
            <w:pPr>
              <w:widowControl/>
              <w:spacing w:line="240" w:lineRule="exact"/>
              <w:jc w:val="left"/>
              <w:rPr>
                <w:kern w:val="0"/>
                <w:szCs w:val="21"/>
              </w:rPr>
            </w:pPr>
            <w:r>
              <w:rPr>
                <w:kern w:val="0"/>
                <w:szCs w:val="21"/>
              </w:rPr>
              <w:t>防化服分散存放在安全场所，紧急情况下便于取用</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b/>
                <w:kern w:val="0"/>
                <w:szCs w:val="21"/>
              </w:rPr>
            </w:pPr>
            <w:r>
              <w:rPr>
                <w:b/>
                <w:kern w:val="0"/>
                <w:szCs w:val="21"/>
              </w:rPr>
              <w:t>10.2</w:t>
            </w:r>
          </w:p>
        </w:tc>
        <w:tc>
          <w:tcPr>
            <w:tcW w:w="8494" w:type="dxa"/>
            <w:gridSpan w:val="7"/>
            <w:vAlign w:val="center"/>
          </w:tcPr>
          <w:p>
            <w:pPr>
              <w:widowControl/>
              <w:spacing w:line="240" w:lineRule="exact"/>
              <w:jc w:val="left"/>
              <w:rPr>
                <w:b/>
                <w:bCs/>
                <w:kern w:val="0"/>
                <w:szCs w:val="21"/>
              </w:rPr>
            </w:pPr>
            <w:r>
              <w:rPr>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10.2.1</w:t>
            </w:r>
          </w:p>
        </w:tc>
        <w:tc>
          <w:tcPr>
            <w:tcW w:w="5603" w:type="dxa"/>
            <w:vAlign w:val="center"/>
          </w:tcPr>
          <w:p>
            <w:pPr>
              <w:widowControl/>
              <w:spacing w:line="240" w:lineRule="exact"/>
              <w:jc w:val="left"/>
              <w:rPr>
                <w:kern w:val="0"/>
                <w:szCs w:val="21"/>
              </w:rPr>
            </w:pPr>
            <w:r>
              <w:rPr>
                <w:kern w:val="0"/>
                <w:szCs w:val="21"/>
              </w:rPr>
              <w:t>危险性实验（如高温、高压、高速运转等）时必须有两人在场</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10.2.2</w:t>
            </w:r>
          </w:p>
        </w:tc>
        <w:tc>
          <w:tcPr>
            <w:tcW w:w="5603" w:type="dxa"/>
            <w:vAlign w:val="center"/>
          </w:tcPr>
          <w:p>
            <w:pPr>
              <w:widowControl/>
              <w:spacing w:line="240" w:lineRule="exact"/>
              <w:jc w:val="left"/>
              <w:rPr>
                <w:kern w:val="0"/>
                <w:szCs w:val="21"/>
              </w:rPr>
            </w:pPr>
            <w:r>
              <w:rPr>
                <w:kern w:val="0"/>
                <w:szCs w:val="21"/>
              </w:rPr>
              <w:t>实验时不能脱岗，通宵实验须两人在场</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10.2.3</w:t>
            </w:r>
          </w:p>
        </w:tc>
        <w:tc>
          <w:tcPr>
            <w:tcW w:w="5603" w:type="dxa"/>
            <w:vAlign w:val="center"/>
          </w:tcPr>
          <w:p>
            <w:pPr>
              <w:widowControl/>
              <w:spacing w:line="240" w:lineRule="exact"/>
              <w:jc w:val="left"/>
              <w:rPr>
                <w:kern w:val="0"/>
                <w:szCs w:val="21"/>
              </w:rPr>
            </w:pPr>
            <w:r>
              <w:rPr>
                <w:kern w:val="0"/>
                <w:szCs w:val="21"/>
              </w:rPr>
              <w:t>不穿拖鞋、短裤进入实验室，不露脚趾</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10.2.4</w:t>
            </w:r>
          </w:p>
        </w:tc>
        <w:tc>
          <w:tcPr>
            <w:tcW w:w="5603" w:type="dxa"/>
            <w:vAlign w:val="center"/>
          </w:tcPr>
          <w:p>
            <w:pPr>
              <w:widowControl/>
              <w:spacing w:line="240" w:lineRule="exact"/>
              <w:jc w:val="left"/>
              <w:rPr>
                <w:kern w:val="0"/>
                <w:szCs w:val="21"/>
              </w:rPr>
            </w:pPr>
            <w:r>
              <w:rPr>
                <w:kern w:val="0"/>
                <w:szCs w:val="21"/>
              </w:rPr>
              <w:t>非实验区（如电梯、办公室、休息室、会议室、餐厅等）无穿戴实验服、实验手套等现象</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10.2.</w:t>
            </w:r>
            <w:r>
              <w:rPr>
                <w:rFonts w:hint="eastAsia"/>
                <w:kern w:val="0"/>
                <w:szCs w:val="21"/>
              </w:rPr>
              <w:t>5</w:t>
            </w:r>
          </w:p>
        </w:tc>
        <w:tc>
          <w:tcPr>
            <w:tcW w:w="5603" w:type="dxa"/>
            <w:vAlign w:val="center"/>
          </w:tcPr>
          <w:p>
            <w:pPr>
              <w:widowControl/>
              <w:spacing w:line="240" w:lineRule="exact"/>
              <w:jc w:val="left"/>
              <w:rPr>
                <w:kern w:val="0"/>
                <w:szCs w:val="21"/>
              </w:rPr>
            </w:pPr>
            <w:r>
              <w:rPr>
                <w:kern w:val="0"/>
                <w:szCs w:val="21"/>
              </w:rPr>
              <w:t>操作机床等旋转设备时，不穿戴长围巾、丝巾、领带等</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828" w:type="dxa"/>
            <w:vAlign w:val="center"/>
          </w:tcPr>
          <w:p>
            <w:pPr>
              <w:widowControl/>
              <w:spacing w:line="240" w:lineRule="exact"/>
              <w:jc w:val="left"/>
              <w:rPr>
                <w:kern w:val="0"/>
                <w:szCs w:val="21"/>
              </w:rPr>
            </w:pPr>
            <w:r>
              <w:rPr>
                <w:kern w:val="0"/>
                <w:szCs w:val="21"/>
              </w:rPr>
              <w:t>10.2.6</w:t>
            </w:r>
          </w:p>
        </w:tc>
        <w:tc>
          <w:tcPr>
            <w:tcW w:w="5603" w:type="dxa"/>
            <w:vAlign w:val="center"/>
          </w:tcPr>
          <w:p>
            <w:pPr>
              <w:widowControl/>
              <w:spacing w:line="240" w:lineRule="exact"/>
              <w:jc w:val="left"/>
              <w:rPr>
                <w:kern w:val="0"/>
                <w:szCs w:val="21"/>
              </w:rPr>
            </w:pPr>
            <w:r>
              <w:rPr>
                <w:kern w:val="0"/>
                <w:szCs w:val="21"/>
              </w:rPr>
              <w:t>手机、银行卡等不带入高磁场实验室</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240" w:lineRule="exact"/>
              <w:jc w:val="left"/>
              <w:rPr>
                <w:kern w:val="0"/>
                <w:szCs w:val="21"/>
              </w:rPr>
            </w:pPr>
            <w:r>
              <w:rPr>
                <w:kern w:val="0"/>
                <w:szCs w:val="21"/>
              </w:rPr>
              <w:t>10.2.7</w:t>
            </w:r>
          </w:p>
        </w:tc>
        <w:tc>
          <w:tcPr>
            <w:tcW w:w="5603" w:type="dxa"/>
            <w:vAlign w:val="center"/>
          </w:tcPr>
          <w:p>
            <w:pPr>
              <w:widowControl/>
              <w:spacing w:line="240" w:lineRule="exact"/>
              <w:jc w:val="left"/>
              <w:rPr>
                <w:kern w:val="0"/>
                <w:szCs w:val="21"/>
              </w:rPr>
            </w:pPr>
            <w:r>
              <w:rPr>
                <w:kern w:val="0"/>
                <w:szCs w:val="21"/>
              </w:rPr>
              <w:t>有规范的实验记录</w:t>
            </w:r>
          </w:p>
        </w:tc>
        <w:tc>
          <w:tcPr>
            <w:tcW w:w="715" w:type="dxa"/>
            <w:vAlign w:val="top"/>
          </w:tcPr>
          <w:p>
            <w:pPr>
              <w:widowControl/>
              <w:spacing w:line="240" w:lineRule="exact"/>
              <w:jc w:val="center"/>
              <w:rPr>
                <w:b/>
                <w:bCs/>
                <w:kern w:val="0"/>
                <w:szCs w:val="21"/>
              </w:rPr>
            </w:pPr>
          </w:p>
        </w:tc>
        <w:tc>
          <w:tcPr>
            <w:tcW w:w="900" w:type="dxa"/>
            <w:gridSpan w:val="2"/>
            <w:vAlign w:val="top"/>
          </w:tcPr>
          <w:p>
            <w:pPr>
              <w:widowControl/>
              <w:spacing w:line="240" w:lineRule="exact"/>
              <w:jc w:val="center"/>
              <w:rPr>
                <w:b/>
                <w:bCs/>
                <w:kern w:val="0"/>
                <w:szCs w:val="21"/>
              </w:rPr>
            </w:pPr>
          </w:p>
        </w:tc>
        <w:tc>
          <w:tcPr>
            <w:tcW w:w="360" w:type="dxa"/>
            <w:vAlign w:val="top"/>
          </w:tcPr>
          <w:p>
            <w:pPr>
              <w:widowControl/>
              <w:spacing w:line="240" w:lineRule="exact"/>
              <w:jc w:val="center"/>
              <w:rPr>
                <w:b/>
                <w:bCs/>
                <w:kern w:val="0"/>
                <w:szCs w:val="21"/>
              </w:rPr>
            </w:pPr>
          </w:p>
        </w:tc>
        <w:tc>
          <w:tcPr>
            <w:tcW w:w="916" w:type="dxa"/>
            <w:gridSpan w:val="2"/>
            <w:vAlign w:val="top"/>
          </w:tcPr>
          <w:p>
            <w:pPr>
              <w:widowControl/>
              <w:spacing w:line="24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3" w:hRule="atLeast"/>
        </w:trPr>
        <w:tc>
          <w:tcPr>
            <w:tcW w:w="9322" w:type="dxa"/>
            <w:gridSpan w:val="8"/>
            <w:vAlign w:val="top"/>
          </w:tcPr>
          <w:p>
            <w:pPr>
              <w:widowControl/>
              <w:adjustRightInd w:val="0"/>
              <w:spacing w:line="360" w:lineRule="auto"/>
              <w:rPr>
                <w:rFonts w:hint="eastAsia"/>
                <w:b/>
                <w:bCs/>
                <w:kern w:val="0"/>
                <w:sz w:val="30"/>
                <w:szCs w:val="30"/>
              </w:rPr>
            </w:pPr>
            <w:r>
              <w:rPr>
                <w:rFonts w:hint="eastAsia"/>
                <w:b/>
                <w:bCs/>
                <w:kern w:val="0"/>
                <w:sz w:val="30"/>
                <w:szCs w:val="30"/>
              </w:rPr>
              <w:t>评估结果：</w:t>
            </w:r>
          </w:p>
          <w:p>
            <w:pPr>
              <w:widowControl/>
              <w:adjustRightInd w:val="0"/>
              <w:spacing w:line="360" w:lineRule="auto"/>
              <w:ind w:firstLine="596" w:firstLineChars="198"/>
              <w:rPr>
                <w:rFonts w:hint="eastAsia"/>
                <w:b/>
                <w:bCs/>
                <w:kern w:val="0"/>
                <w:sz w:val="30"/>
                <w:szCs w:val="30"/>
              </w:rPr>
            </w:pPr>
            <w:r>
              <w:rPr>
                <w:rFonts w:hint="eastAsia"/>
                <w:b/>
                <w:bCs/>
                <w:kern w:val="0"/>
                <w:sz w:val="30"/>
                <w:szCs w:val="30"/>
              </w:rPr>
              <w:t>针对</w:t>
            </w:r>
            <w:r>
              <w:rPr>
                <w:rFonts w:hint="eastAsia"/>
                <w:b/>
                <w:bCs/>
                <w:kern w:val="0"/>
                <w:sz w:val="30"/>
                <w:szCs w:val="30"/>
                <w:lang w:eastAsia="zh-CN"/>
              </w:rPr>
              <w:t>江汉</w:t>
            </w:r>
            <w:r>
              <w:rPr>
                <w:rFonts w:hint="eastAsia"/>
                <w:b/>
                <w:bCs/>
                <w:kern w:val="0"/>
                <w:sz w:val="30"/>
                <w:szCs w:val="30"/>
              </w:rPr>
              <w:t>大学实验室安全风险评估等级指标，经过对所在实验室实地检查，本实验室安全风险等级存在：</w:t>
            </w:r>
          </w:p>
          <w:p>
            <w:pPr>
              <w:widowControl/>
              <w:adjustRightInd w:val="0"/>
              <w:spacing w:line="360" w:lineRule="auto"/>
              <w:ind w:firstLine="720" w:firstLineChars="300"/>
              <w:jc w:val="left"/>
              <w:rPr>
                <w:rFonts w:hint="eastAsia"/>
                <w:bCs/>
                <w:sz w:val="24"/>
                <w:lang w:val="en-US" w:eastAsia="zh-CN"/>
              </w:rPr>
            </w:pPr>
            <w:r>
              <w:rPr>
                <w:rFonts w:hint="eastAsia" w:ascii="宋体" w:hAnsi="宋体"/>
                <w:sz w:val="24"/>
              </w:rPr>
              <w:t>□</w:t>
            </w:r>
            <w:r>
              <w:rPr>
                <w:rFonts w:hint="eastAsia" w:ascii="宋体" w:hAnsi="宋体"/>
                <w:sz w:val="24"/>
                <w:lang w:eastAsia="zh-CN"/>
              </w:rPr>
              <w:t>特别重大安全风险</w:t>
            </w:r>
            <w:r>
              <w:rPr>
                <w:rFonts w:hint="eastAsia" w:ascii="宋体" w:hAnsi="宋体"/>
                <w:sz w:val="24"/>
                <w:lang w:val="en-US" w:eastAsia="zh-CN"/>
              </w:rPr>
              <w:t xml:space="preserve">        </w:t>
            </w:r>
            <w:r>
              <w:rPr>
                <w:rFonts w:hint="eastAsia" w:ascii="宋体" w:hAnsi="宋体"/>
                <w:sz w:val="24"/>
              </w:rPr>
              <w:t>□</w:t>
            </w:r>
            <w:r>
              <w:rPr>
                <w:rFonts w:hint="eastAsia"/>
                <w:bCs/>
                <w:sz w:val="24"/>
              </w:rPr>
              <w:t>重大安全风险</w:t>
            </w:r>
            <w:r>
              <w:rPr>
                <w:rFonts w:hint="eastAsia"/>
                <w:bCs/>
                <w:sz w:val="24"/>
                <w:lang w:val="en-US" w:eastAsia="zh-CN"/>
              </w:rPr>
              <w:t xml:space="preserve">        </w:t>
            </w:r>
            <w:r>
              <w:rPr>
                <w:rFonts w:hint="eastAsia" w:ascii="宋体" w:hAnsi="宋体"/>
                <w:sz w:val="24"/>
              </w:rPr>
              <w:t>□</w:t>
            </w:r>
            <w:r>
              <w:rPr>
                <w:rFonts w:hint="eastAsia"/>
                <w:bCs/>
                <w:sz w:val="24"/>
                <w:lang w:eastAsia="zh-CN"/>
              </w:rPr>
              <w:t>中等</w:t>
            </w:r>
            <w:r>
              <w:rPr>
                <w:rFonts w:hint="eastAsia"/>
                <w:bCs/>
                <w:sz w:val="24"/>
              </w:rPr>
              <w:t>安全风险</w:t>
            </w:r>
          </w:p>
          <w:p>
            <w:pPr>
              <w:widowControl/>
              <w:adjustRightInd w:val="0"/>
              <w:spacing w:line="360" w:lineRule="auto"/>
              <w:rPr>
                <w:b/>
                <w:bCs/>
                <w:kern w:val="0"/>
                <w:sz w:val="30"/>
                <w:szCs w:val="30"/>
              </w:rPr>
            </w:pPr>
            <w:r>
              <w:rPr>
                <w:rFonts w:hint="eastAsia"/>
                <w:bCs/>
                <w:sz w:val="24"/>
                <w:lang w:val="en-US" w:eastAsia="zh-CN"/>
              </w:rPr>
              <w:t xml:space="preserve">      </w:t>
            </w:r>
            <w:r>
              <w:rPr>
                <w:rFonts w:hint="eastAsia" w:ascii="宋体" w:hAnsi="宋体"/>
                <w:sz w:val="24"/>
              </w:rPr>
              <w:t>□</w:t>
            </w:r>
            <w:r>
              <w:rPr>
                <w:rFonts w:hint="eastAsia"/>
                <w:bCs/>
                <w:sz w:val="24"/>
              </w:rPr>
              <w:t>一般安全风险</w:t>
            </w:r>
            <w:r>
              <w:rPr>
                <w:rFonts w:hint="eastAsia"/>
                <w:bCs/>
                <w:sz w:val="24"/>
                <w:lang w:val="en-US" w:eastAsia="zh-CN"/>
              </w:rPr>
              <w:t xml:space="preserve">            </w:t>
            </w:r>
            <w:r>
              <w:rPr>
                <w:rFonts w:hint="eastAsia" w:ascii="宋体" w:hAnsi="宋体"/>
                <w:sz w:val="24"/>
              </w:rPr>
              <w:t>□</w:t>
            </w:r>
            <w:r>
              <w:rPr>
                <w:rFonts w:hint="eastAsia"/>
                <w:bCs/>
                <w:sz w:val="24"/>
                <w:lang w:eastAsia="zh-CN"/>
              </w:rPr>
              <w:t>低</w:t>
            </w:r>
            <w:r>
              <w:rPr>
                <w:rFonts w:hint="eastAsia"/>
                <w:bCs/>
                <w:sz w:val="24"/>
              </w:rPr>
              <w:t>安全风险</w:t>
            </w:r>
          </w:p>
          <w:p>
            <w:pPr>
              <w:widowControl/>
              <w:adjustRightInd w:val="0"/>
              <w:spacing w:line="360" w:lineRule="auto"/>
              <w:ind w:firstLine="5460" w:firstLineChars="1950"/>
              <w:rPr>
                <w:rFonts w:hint="eastAsia"/>
                <w:bCs/>
                <w:kern w:val="0"/>
                <w:sz w:val="28"/>
                <w:szCs w:val="28"/>
              </w:rPr>
            </w:pPr>
          </w:p>
          <w:p>
            <w:pPr>
              <w:widowControl/>
              <w:adjustRightInd w:val="0"/>
              <w:spacing w:line="360" w:lineRule="auto"/>
              <w:ind w:firstLine="5460" w:firstLineChars="1950"/>
              <w:rPr>
                <w:bCs/>
                <w:kern w:val="0"/>
                <w:sz w:val="28"/>
                <w:szCs w:val="28"/>
              </w:rPr>
            </w:pPr>
            <w:r>
              <w:rPr>
                <w:rFonts w:hint="eastAsia"/>
                <w:bCs/>
                <w:kern w:val="0"/>
                <w:sz w:val="28"/>
                <w:szCs w:val="28"/>
              </w:rPr>
              <w:t>评估人：</w:t>
            </w:r>
          </w:p>
          <w:p>
            <w:pPr>
              <w:widowControl/>
              <w:spacing w:line="240" w:lineRule="exact"/>
              <w:rPr>
                <w:b/>
                <w:bCs/>
                <w:kern w:val="0"/>
                <w:szCs w:val="21"/>
              </w:rPr>
            </w:pPr>
          </w:p>
        </w:tc>
      </w:tr>
    </w:tbl>
    <w:p>
      <w:pPr>
        <w:adjustRightInd w:val="0"/>
        <w:snapToGrid w:val="0"/>
        <w:spacing w:before="156" w:beforeLines="50"/>
        <w:jc w:val="left"/>
        <w:rPr>
          <w:sz w:val="24"/>
        </w:rPr>
      </w:pPr>
      <w:r>
        <w:rPr>
          <w:sz w:val="24"/>
        </w:rPr>
        <w:t>注：请根据实际情况在“</w:t>
      </w:r>
      <w:r>
        <w:rPr>
          <w:rFonts w:hint="eastAsia"/>
          <w:sz w:val="24"/>
          <w:lang w:eastAsia="zh-CN"/>
        </w:rPr>
        <w:t>特别重大安全风险</w:t>
      </w:r>
      <w:r>
        <w:rPr>
          <w:sz w:val="24"/>
        </w:rPr>
        <w:t>”</w:t>
      </w:r>
      <w:r>
        <w:rPr>
          <w:rFonts w:hint="eastAsia"/>
          <w:sz w:val="24"/>
          <w:lang w:eastAsia="zh-CN"/>
        </w:rPr>
        <w:t>、</w:t>
      </w:r>
      <w:r>
        <w:rPr>
          <w:sz w:val="24"/>
        </w:rPr>
        <w:t>“</w:t>
      </w:r>
      <w:r>
        <w:rPr>
          <w:rFonts w:hint="eastAsia"/>
          <w:sz w:val="24"/>
        </w:rPr>
        <w:t>重</w:t>
      </w:r>
      <w:r>
        <w:rPr>
          <w:rFonts w:hint="eastAsia"/>
          <w:bCs/>
          <w:sz w:val="24"/>
        </w:rPr>
        <w:t>大安全风险</w:t>
      </w:r>
      <w:r>
        <w:rPr>
          <w:sz w:val="24"/>
        </w:rPr>
        <w:t>”</w:t>
      </w:r>
      <w:r>
        <w:rPr>
          <w:rFonts w:hint="eastAsia"/>
          <w:sz w:val="24"/>
        </w:rPr>
        <w:t>、“</w:t>
      </w:r>
      <w:r>
        <w:rPr>
          <w:rFonts w:hint="eastAsia"/>
          <w:bCs/>
          <w:sz w:val="24"/>
          <w:lang w:eastAsia="zh-CN"/>
        </w:rPr>
        <w:t>中等</w:t>
      </w:r>
      <w:r>
        <w:rPr>
          <w:rFonts w:hint="eastAsia"/>
          <w:bCs/>
          <w:sz w:val="24"/>
        </w:rPr>
        <w:t>安全风险</w:t>
      </w:r>
      <w:r>
        <w:rPr>
          <w:rFonts w:hint="eastAsia"/>
          <w:sz w:val="24"/>
        </w:rPr>
        <w:t>”、</w:t>
      </w:r>
      <w:r>
        <w:rPr>
          <w:sz w:val="24"/>
        </w:rPr>
        <w:t>“</w:t>
      </w:r>
      <w:r>
        <w:rPr>
          <w:rFonts w:hint="eastAsia"/>
          <w:bCs/>
          <w:sz w:val="24"/>
        </w:rPr>
        <w:t>一般安全风险</w:t>
      </w:r>
      <w:r>
        <w:rPr>
          <w:sz w:val="24"/>
        </w:rPr>
        <w:t>”</w:t>
      </w:r>
      <w:r>
        <w:rPr>
          <w:rFonts w:hint="eastAsia"/>
          <w:sz w:val="24"/>
        </w:rPr>
        <w:t>和</w:t>
      </w:r>
      <w:r>
        <w:rPr>
          <w:sz w:val="24"/>
        </w:rPr>
        <w:t>“</w:t>
      </w:r>
      <w:r>
        <w:rPr>
          <w:rFonts w:hint="eastAsia"/>
          <w:bCs/>
          <w:sz w:val="24"/>
          <w:lang w:eastAsia="zh-CN"/>
        </w:rPr>
        <w:t>低</w:t>
      </w:r>
      <w:r>
        <w:rPr>
          <w:rFonts w:hint="eastAsia"/>
          <w:bCs/>
          <w:sz w:val="24"/>
        </w:rPr>
        <w:t>安全风险</w:t>
      </w:r>
      <w:r>
        <w:rPr>
          <w:sz w:val="24"/>
        </w:rPr>
        <w:t>”栏目中划“√”</w:t>
      </w:r>
    </w:p>
    <w:p>
      <w:pPr>
        <w:adjustRightInd w:val="0"/>
        <w:snapToGrid w:val="0"/>
        <w:spacing w:before="156" w:beforeLines="50" w:line="360" w:lineRule="auto"/>
        <w:jc w:val="left"/>
        <w:rPr>
          <w:b/>
          <w:sz w:val="28"/>
          <w:szCs w:val="30"/>
        </w:rPr>
      </w:pPr>
      <w:r>
        <w:rPr>
          <w:b/>
          <w:sz w:val="28"/>
          <w:szCs w:val="30"/>
        </w:rPr>
        <w:t xml:space="preserve">填表人：     </w:t>
      </w:r>
      <w:r>
        <w:rPr>
          <w:rFonts w:hint="eastAsia"/>
          <w:b/>
          <w:sz w:val="28"/>
          <w:szCs w:val="30"/>
        </w:rPr>
        <w:t xml:space="preserve">       </w:t>
      </w:r>
      <w:r>
        <w:rPr>
          <w:b/>
          <w:sz w:val="28"/>
          <w:szCs w:val="30"/>
        </w:rPr>
        <w:t xml:space="preserve">     电话：     </w:t>
      </w:r>
      <w:r>
        <w:rPr>
          <w:rFonts w:hint="eastAsia"/>
          <w:b/>
          <w:sz w:val="28"/>
          <w:szCs w:val="30"/>
        </w:rPr>
        <w:t xml:space="preserve"> </w:t>
      </w:r>
      <w:r>
        <w:rPr>
          <w:b/>
          <w:sz w:val="28"/>
          <w:szCs w:val="30"/>
        </w:rPr>
        <w:t xml:space="preserve">     邮箱：</w:t>
      </w:r>
    </w:p>
    <w:p>
      <w:pPr>
        <w:adjustRightInd w:val="0"/>
        <w:snapToGrid w:val="0"/>
        <w:spacing w:line="360" w:lineRule="auto"/>
        <w:rPr>
          <w:rFonts w:hint="eastAsia"/>
        </w:rPr>
      </w:pPr>
      <w:r>
        <w:rPr>
          <w:b/>
          <w:sz w:val="28"/>
          <w:szCs w:val="30"/>
        </w:rPr>
        <w:t>审核（</w:t>
      </w:r>
      <w:r>
        <w:rPr>
          <w:rFonts w:hint="eastAsia"/>
          <w:b/>
          <w:sz w:val="28"/>
          <w:szCs w:val="30"/>
        </w:rPr>
        <w:t>主管领导</w:t>
      </w:r>
      <w:r>
        <w:rPr>
          <w:b/>
          <w:sz w:val="28"/>
          <w:szCs w:val="30"/>
        </w:rPr>
        <w:t xml:space="preserve">）人（签字）： </w:t>
      </w:r>
      <w:r>
        <w:rPr>
          <w:rFonts w:hint="eastAsia"/>
          <w:b/>
          <w:sz w:val="28"/>
          <w:szCs w:val="30"/>
        </w:rPr>
        <w:t xml:space="preserve">               </w:t>
      </w:r>
      <w:r>
        <w:rPr>
          <w:b/>
          <w:sz w:val="28"/>
          <w:szCs w:val="30"/>
        </w:rPr>
        <w:t>填表时间：</w:t>
      </w:r>
    </w:p>
    <w:p>
      <w:pPr>
        <w:pStyle w:val="3"/>
        <w:keepNext w:val="0"/>
        <w:keepLines w:val="0"/>
        <w:widowControl/>
        <w:suppressLineNumbers w:val="0"/>
        <w:shd w:val="clear" w:fill="FFFFFF"/>
        <w:spacing w:before="0" w:beforeAutospacing="0" w:after="0" w:afterAutospacing="0" w:line="555" w:lineRule="atLeast"/>
        <w:ind w:right="0"/>
        <w:jc w:val="left"/>
        <w:rPr>
          <w:rFonts w:hint="eastAsia" w:eastAsia="方正小标宋简体"/>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F6BB9"/>
    <w:rsid w:val="032B03CD"/>
    <w:rsid w:val="044F5868"/>
    <w:rsid w:val="04B8334E"/>
    <w:rsid w:val="0A7B3731"/>
    <w:rsid w:val="12B35ACC"/>
    <w:rsid w:val="1A3561E9"/>
    <w:rsid w:val="1D9869F6"/>
    <w:rsid w:val="1EEA60E5"/>
    <w:rsid w:val="20C87BEC"/>
    <w:rsid w:val="25351CCD"/>
    <w:rsid w:val="2CE13769"/>
    <w:rsid w:val="3838493E"/>
    <w:rsid w:val="469A3E22"/>
    <w:rsid w:val="48AF0D1C"/>
    <w:rsid w:val="49F0743D"/>
    <w:rsid w:val="4B535965"/>
    <w:rsid w:val="57400011"/>
    <w:rsid w:val="59584922"/>
    <w:rsid w:val="5AEF6BB9"/>
    <w:rsid w:val="5B0719AD"/>
    <w:rsid w:val="5B4E7218"/>
    <w:rsid w:val="5F3505F9"/>
    <w:rsid w:val="616E31A5"/>
    <w:rsid w:val="67B465DE"/>
    <w:rsid w:val="735B0495"/>
    <w:rsid w:val="754F5449"/>
    <w:rsid w:val="78AE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2019-05-14T03:31:00Z</dcterms:created>
  <dc:creator>Administrator</dc:creator>
  <cp:lastModifiedBy>Administrator</cp:lastModifiedBy>
  <cp:lastPrinted>2019-09-17T02:07:00Z</cp:lastPrinted>
  <dcterms:modified xsi:type="dcterms:W3CDTF">2020-01-02T04:30:06Z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