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eastAsia="仿宋_GB2312"/>
          <w:sz w:val="32"/>
        </w:rPr>
      </w:pPr>
      <w:bookmarkStart w:id="0" w:name="_GoBack"/>
      <w:bookmarkEnd w:id="0"/>
    </w:p>
    <w:p>
      <w:pPr>
        <w:spacing w:line="640" w:lineRule="exact"/>
        <w:rPr>
          <w:rFonts w:eastAsia="仿宋_GB2312"/>
          <w:sz w:val="32"/>
        </w:rPr>
      </w:pPr>
      <w:r>
        <w:rPr>
          <w:rFonts w:eastAsia="仿宋_GB2312"/>
          <w:sz w:val="32"/>
        </w:rPr>
        <mc:AlternateContent>
          <mc:Choice Requires="wps">
            <w:drawing>
              <wp:anchor distT="0" distB="0" distL="114300" distR="114300" simplePos="0" relativeHeight="251659264" behindDoc="0" locked="0" layoutInCell="1" allowOverlap="1">
                <wp:simplePos x="0" y="0"/>
                <wp:positionH relativeFrom="column">
                  <wp:posOffset>350520</wp:posOffset>
                </wp:positionH>
                <wp:positionV relativeFrom="paragraph">
                  <wp:posOffset>294640</wp:posOffset>
                </wp:positionV>
                <wp:extent cx="5021580" cy="105918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021580" cy="1059180"/>
                        </a:xfrm>
                        <a:prstGeom prst="rect">
                          <a:avLst/>
                        </a:prstGeom>
                        <a:noFill/>
                        <a:ln>
                          <a:noFill/>
                        </a:ln>
                        <a:effectLst/>
                      </wps:spPr>
                      <wps:txbx>
                        <w:txbxContent>
                          <w:p>
                            <w:r>
                              <w:drawing>
                                <wp:inline distT="0" distB="0" distL="0" distR="0">
                                  <wp:extent cx="4839970" cy="906780"/>
                                  <wp:effectExtent l="0" t="0" r="0" b="7620"/>
                                  <wp:docPr id="6" name="图片 6" descr="红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红头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39970" cy="9067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 id="_x0000_s1026" o:spid="_x0000_s1026" o:spt="202" type="#_x0000_t202" style="position:absolute;left:0pt;margin-left:27.6pt;margin-top:23.2pt;height:83.4pt;width:395.4pt;mso-wrap-style:none;z-index:251659264;mso-width-relative:page;mso-height-relative:page;" filled="f" stroked="f" coordsize="21600,21600" o:gfxdata="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QmHhNYAAAAJAQAADwAAAAAAAAABACAAAAAiAAAAZHJzL2Rvd25yZXYu&#10;eG1sUEsBAhQAFAAAAAgAh07iQMXHEFH9AQAA1AMAAA4AAAAAAAAAAQAgAAAAJQEAAGRycy9lMm9E&#10;b2MueG1sUEsFBgAAAAAGAAYAWQEAAJQFAAAAAA==&#10;">
                <v:fill on="f" focussize="0,0"/>
                <v:stroke on="f"/>
                <v:imagedata o:title=""/>
                <o:lock v:ext="edit" aspectratio="f"/>
                <v:textbox style="mso-fit-shape-to-text:t;">
                  <w:txbxContent>
                    <w:p>
                      <w:r>
                        <w:drawing>
                          <wp:inline distT="0" distB="0" distL="0" distR="0">
                            <wp:extent cx="4839970" cy="906780"/>
                            <wp:effectExtent l="0" t="0" r="0" b="7620"/>
                            <wp:docPr id="6" name="图片 6" descr="红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红头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39970" cy="906780"/>
                                    </a:xfrm>
                                    <a:prstGeom prst="rect">
                                      <a:avLst/>
                                    </a:prstGeom>
                                    <a:noFill/>
                                    <a:ln>
                                      <a:noFill/>
                                    </a:ln>
                                  </pic:spPr>
                                </pic:pic>
                              </a:graphicData>
                            </a:graphic>
                          </wp:inline>
                        </w:drawing>
                      </w:r>
                    </w:p>
                  </w:txbxContent>
                </v:textbox>
              </v:shape>
            </w:pict>
          </mc:Fallback>
        </mc:AlternateContent>
      </w:r>
    </w:p>
    <w:p>
      <w:pPr>
        <w:spacing w:line="640" w:lineRule="exact"/>
        <w:rPr>
          <w:rFonts w:eastAsia="仿宋_GB2312"/>
          <w:sz w:val="32"/>
        </w:rPr>
      </w:pPr>
    </w:p>
    <w:p>
      <w:pPr>
        <w:spacing w:line="640" w:lineRule="exact"/>
        <w:rPr>
          <w:rFonts w:eastAsia="仿宋_GB2312"/>
          <w:sz w:val="32"/>
        </w:rPr>
      </w:pPr>
    </w:p>
    <w:p>
      <w:pPr>
        <w:spacing w:line="780" w:lineRule="exact"/>
        <w:rPr>
          <w:rFonts w:eastAsia="仿宋_GB2312"/>
          <w:sz w:val="32"/>
        </w:rPr>
      </w:pPr>
    </w:p>
    <w:p>
      <w:pPr>
        <w:jc w:val="center"/>
        <w:rPr>
          <w:rFonts w:ascii="Times New Roman" w:hAnsi="Times New Roman" w:eastAsia="仿宋_GB2312" w:cs="Times New Roman"/>
          <w:sz w:val="32"/>
        </w:rPr>
      </w:pPr>
      <w:r>
        <w:rPr>
          <w:rFonts w:hint="eastAsia" w:ascii="Times New Roman" w:hAnsi="Times New Roman" w:eastAsia="仿宋_GB2312" w:cs="Times New Roman"/>
          <w:sz w:val="32"/>
        </w:rPr>
        <w:t>江校教〔</w:t>
      </w:r>
      <w:r>
        <w:rPr>
          <w:rFonts w:ascii="Times New Roman" w:hAnsi="Times New Roman" w:eastAsia="仿宋_GB2312" w:cs="Times New Roman"/>
          <w:sz w:val="32"/>
        </w:rPr>
        <w:t>2019</w:t>
      </w:r>
      <w:r>
        <w:rPr>
          <w:rFonts w:hint="eastAsia" w:ascii="Times New Roman" w:hAnsi="Times New Roman" w:eastAsia="仿宋_GB2312" w:cs="Times New Roman"/>
          <w:sz w:val="32"/>
        </w:rPr>
        <w:t>〕</w:t>
      </w:r>
      <w:r>
        <w:rPr>
          <w:rFonts w:ascii="Times New Roman" w:hAnsi="Times New Roman" w:eastAsia="仿宋_GB2312" w:cs="Times New Roman"/>
          <w:sz w:val="32"/>
        </w:rPr>
        <w:t>46</w:t>
      </w:r>
      <w:r>
        <w:rPr>
          <w:rFonts w:hint="eastAsia" w:ascii="Times New Roman" w:hAnsi="Times New Roman" w:eastAsia="仿宋_GB2312" w:cs="Times New Roman"/>
          <w:sz w:val="32"/>
        </w:rPr>
        <w:t>号</w:t>
      </w:r>
    </w:p>
    <w:p>
      <w:pPr>
        <w:spacing w:line="440" w:lineRule="exact"/>
        <w:jc w:val="center"/>
        <w:rPr>
          <w:rFonts w:ascii="方正小标宋简体" w:eastAsia="仿宋_GB2312"/>
          <w:sz w:val="32"/>
        </w:rPr>
      </w:pPr>
      <w:r>
        <w:rPr>
          <w:rFonts w:eastAsia="仿宋_GB2312"/>
          <w:sz w:val="32"/>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179705</wp:posOffset>
                </wp:positionV>
                <wp:extent cx="60960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5875">
                          <a:solidFill>
                            <a:srgbClr val="FF0000"/>
                          </a:solidFill>
                          <a:round/>
                        </a:ln>
                        <a:effectLst/>
                      </wps:spPr>
                      <wps:bodyPr/>
                    </wps:wsp>
                  </a:graphicData>
                </a:graphic>
              </wp:anchor>
            </w:drawing>
          </mc:Choice>
          <mc:Fallback>
            <w:pict>
              <v:line id="_x0000_s1026" o:spid="_x0000_s1026" o:spt="20" style="position:absolute;left:0pt;margin-left:-18pt;margin-top:14.15pt;height:0pt;width:480pt;z-index:251660288;mso-width-relative:page;mso-height-relative:page;" filled="f" stroked="t" coordsize="21600,21600" o:gfxdata="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TvmPLXAAAACQEAAA8AAAAAAAAAAQAgAAAAIgAA&#10;AGRycy9kb3ducmV2LnhtbFBLAQIUABQAAAAIAIdO4kAIWjwg0AEAAGsDAAAOAAAAAAAAAAEAIAAA&#10;ACYBAABkcnMvZTJvRG9jLnhtbFBLBQYAAAAABgAGAFkBAABoBQAAAAA=&#10;">
                <v:fill on="f" focussize="0,0"/>
                <v:stroke weight="1.25pt" color="#FF0000" joinstyle="round"/>
                <v:imagedata o:title=""/>
                <o:lock v:ext="edit" aspectratio="f"/>
              </v:line>
            </w:pict>
          </mc:Fallback>
        </mc:AlternateContent>
      </w:r>
    </w:p>
    <w:p>
      <w:pPr>
        <w:spacing w:line="440" w:lineRule="exact"/>
        <w:jc w:val="center"/>
        <w:rPr>
          <w:rFonts w:ascii="方正小标宋简体" w:eastAsia="仿宋_GB2312"/>
          <w:sz w:val="32"/>
        </w:rPr>
      </w:pPr>
    </w:p>
    <w:p>
      <w:pPr>
        <w:spacing w:line="720" w:lineRule="exact"/>
        <w:jc w:val="center"/>
        <w:rPr>
          <w:rFonts w:ascii="方正小标宋简体" w:eastAsia="方正小标宋简体"/>
          <w:bCs/>
          <w:sz w:val="44"/>
          <w:szCs w:val="44"/>
        </w:rPr>
      </w:pPr>
      <w:r>
        <w:rPr>
          <w:rFonts w:hint="eastAsia" w:ascii="方正小标宋简体" w:eastAsia="方正小标宋简体"/>
          <w:bCs/>
          <w:sz w:val="44"/>
          <w:szCs w:val="44"/>
        </w:rPr>
        <w:t>江汉大学关于印发</w:t>
      </w:r>
    </w:p>
    <w:p>
      <w:pPr>
        <w:spacing w:line="720" w:lineRule="exact"/>
        <w:jc w:val="center"/>
        <w:rPr>
          <w:rFonts w:ascii="方正小标宋简体" w:eastAsia="方正小标宋简体"/>
          <w:bCs/>
          <w:sz w:val="44"/>
          <w:szCs w:val="44"/>
        </w:rPr>
      </w:pPr>
      <w:r>
        <w:rPr>
          <w:rFonts w:hint="eastAsia" w:ascii="方正小标宋简体" w:eastAsia="方正小标宋简体"/>
          <w:bCs/>
          <w:sz w:val="44"/>
          <w:szCs w:val="44"/>
        </w:rPr>
        <w:t>实验室安全管理相关制度的通知</w:t>
      </w:r>
    </w:p>
    <w:p>
      <w:pPr>
        <w:spacing w:line="560" w:lineRule="exact"/>
        <w:ind w:firstLine="640" w:firstLineChars="200"/>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各学院、各部门、各单位：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《江汉大学实验室安全准入制度》《江汉大学实验室安全检查制度》已经2019年第27次校长办公会审议通过，现印发给你们，请遵照执行。</w:t>
      </w:r>
    </w:p>
    <w:p>
      <w:pPr>
        <w:tabs>
          <w:tab w:val="left" w:pos="4245"/>
        </w:tabs>
        <w:spacing w:line="560" w:lineRule="exact"/>
        <w:ind w:firstLine="640" w:firstLineChars="200"/>
        <w:rPr>
          <w:rFonts w:eastAsia="仿宋_GB2312"/>
          <w:sz w:val="32"/>
          <w:szCs w:val="32"/>
        </w:rPr>
      </w:pPr>
    </w:p>
    <w:p>
      <w:pPr>
        <w:tabs>
          <w:tab w:val="left" w:pos="4245"/>
        </w:tabs>
        <w:spacing w:line="560" w:lineRule="exact"/>
        <w:ind w:firstLine="640" w:firstLineChars="200"/>
        <w:rPr>
          <w:rFonts w:eastAsia="仿宋_GB2312"/>
          <w:sz w:val="32"/>
          <w:szCs w:val="32"/>
        </w:rPr>
      </w:pPr>
    </w:p>
    <w:p>
      <w:pPr>
        <w:tabs>
          <w:tab w:val="left" w:pos="4245"/>
        </w:tabs>
        <w:spacing w:line="560" w:lineRule="exact"/>
        <w:ind w:right="1896" w:rightChars="903" w:firstLine="640" w:firstLineChars="200"/>
        <w:jc w:val="right"/>
        <w:rPr>
          <w:rFonts w:eastAsia="仿宋_GB2312"/>
          <w:sz w:val="32"/>
          <w:szCs w:val="32"/>
        </w:rPr>
      </w:pPr>
      <w:r>
        <w:rPr>
          <w:rFonts w:hint="eastAsia" w:eastAsia="仿宋_GB2312"/>
          <w:sz w:val="32"/>
          <w:szCs w:val="32"/>
        </w:rPr>
        <w:t>江汉</w:t>
      </w:r>
      <w:r>
        <w:rPr>
          <w:rFonts w:hint="eastAsia" w:eastAsia="仿宋_GB2312"/>
          <w:sz w:val="32"/>
          <w:szCs w:val="32"/>
        </w:rPr>
        <w:pict>
          <v:shape id="_x0000_s1032" o:spid="_x0000_s1032" o:spt="201" type="#_x0000_t201" style="position:absolute;left:0pt;margin-left:321.05pt;margin-top:560.45pt;height:127.5pt;width:127.5pt;mso-position-horizontal-relative:page;mso-position-vertical-relative:page;z-index:-251652096;mso-width-relative:page;mso-height-relative:page;" o:ole="t" filled="f" stroked="f" coordsize="21600,21600">
            <v:path/>
            <v:fill on="f" focussize="0,0"/>
            <v:stroke on="f" joinstyle="miter"/>
            <v:imagedata r:id="rId9" o:title=""/>
            <o:lock v:ext="edit"/>
          </v:shape>
        </w:pict>
      </w:r>
      <w:r>
        <w:rPr>
          <w:rFonts w:hint="eastAsia" w:eastAsia="仿宋_GB2312"/>
          <w:sz w:val="32"/>
          <w:szCs w:val="32"/>
        </w:rPr>
        <w:t>大学</w:t>
      </w:r>
    </w:p>
    <w:p>
      <w:pPr>
        <w:spacing w:line="560" w:lineRule="exact"/>
        <w:ind w:right="1260" w:rightChars="6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2019年10月25日</w:t>
      </w:r>
    </w:p>
    <w:p>
      <w:pPr>
        <w:widowControl/>
        <w:jc w:val="left"/>
        <w:rPr>
          <w:rFonts w:eastAsia="仿宋_GB2312"/>
          <w:sz w:val="32"/>
          <w:szCs w:val="32"/>
        </w:rPr>
      </w:pPr>
      <w:r>
        <w:rPr>
          <w:rFonts w:eastAsia="仿宋_GB2312"/>
          <w:sz w:val="32"/>
          <w:szCs w:val="32"/>
        </w:rPr>
        <w:br w:type="page"/>
      </w: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江汉大学实验室安全准入制度</w:t>
      </w:r>
    </w:p>
    <w:p>
      <w:pPr>
        <w:pStyle w:val="5"/>
        <w:widowControl/>
        <w:shd w:val="clear" w:color="auto" w:fill="FFFFFF"/>
        <w:spacing w:before="0" w:beforeAutospacing="0" w:after="0" w:afterAutospacing="0" w:line="560" w:lineRule="exact"/>
        <w:ind w:firstLine="643" w:firstLineChars="200"/>
        <w:jc w:val="both"/>
        <w:rPr>
          <w:rStyle w:val="7"/>
          <w:rFonts w:ascii="Times New Roman" w:hAnsi="Times New Roman" w:eastAsia="仿宋_GB2312"/>
          <w:color w:val="000000"/>
          <w:sz w:val="32"/>
          <w:szCs w:val="32"/>
          <w:shd w:val="clear" w:color="auto" w:fill="FFFFFF"/>
        </w:rPr>
      </w:pP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color w:val="000000"/>
          <w:sz w:val="32"/>
          <w:szCs w:val="32"/>
          <w:shd w:val="clear" w:color="auto" w:fill="FFFFFF"/>
        </w:rPr>
        <w:t>为进一步加强实验室安全管理，强化师生的实验室安全与环境责任意识，普及安全与环境保护知识，提高安全防护和应急处理能力，防止和减少事故发生，保证实验室教学、科研工作正常有序运行，确保师生员工生命与实验室财产安全，根据《国务院安委会办公室关于开展2018年全国“安全生产月”和“安全生产万里行”活动的通知》（安委办〔2018〕8号）、《教育部关于加强高校实验室安全工作的意见》（教技函</w:t>
      </w:r>
      <w:r>
        <w:rPr>
          <w:rFonts w:hint="eastAsia" w:ascii="仿宋_GB2312"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2019</w:t>
      </w:r>
      <w:r>
        <w:rPr>
          <w:rFonts w:hint="eastAsia" w:ascii="仿宋_GB2312"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36号）、《教育部办公厅关于加强高校教学实验室安全工作的通知》（教高厅〔2017〕2号）和《教育部科技司关于开展2018年度高等学校科研实验室安全检查工作的通知》（教科司〔2018〕254号）、《江汉大学实验室安全管理制度》，结合学校实际情况，制定本制度。</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黑体"/>
          <w:color w:val="000000"/>
          <w:sz w:val="32"/>
          <w:szCs w:val="32"/>
          <w:shd w:val="clear" w:color="auto" w:fill="FFFFFF"/>
        </w:rPr>
        <w:t>第一条</w:t>
      </w:r>
      <w:r>
        <w:rPr>
          <w:rFonts w:ascii="Times New Roman" w:hAnsi="Times New Roman" w:eastAsia="仿宋_GB2312"/>
          <w:color w:val="000000"/>
          <w:sz w:val="32"/>
          <w:szCs w:val="32"/>
          <w:shd w:val="clear" w:color="auto" w:fill="FFFFFF"/>
        </w:rPr>
        <w:t xml:space="preserve">  适用范围</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shd w:val="clear" w:color="auto" w:fill="FFFFFF"/>
        </w:rPr>
        <w:t>本制度适用于学校各单位开展教学和科研的全部实验场所。</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本制度适用于所有拟进入实验室开展实验活动的人员，包括我校全体本、专科生和研究生、教职工和申请到我校实验室进行实验的校外人员。</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黑体"/>
          <w:color w:val="000000"/>
          <w:sz w:val="32"/>
          <w:szCs w:val="32"/>
          <w:shd w:val="clear" w:color="auto" w:fill="FFFFFF"/>
        </w:rPr>
        <w:t>第二条</w:t>
      </w:r>
      <w:r>
        <w:rPr>
          <w:rFonts w:ascii="Times New Roman" w:hAnsi="Times New Roman" w:eastAsia="仿宋_GB2312"/>
          <w:color w:val="000000"/>
          <w:sz w:val="32"/>
          <w:szCs w:val="32"/>
          <w:shd w:val="clear" w:color="auto" w:fill="FFFFFF"/>
        </w:rPr>
        <w:t xml:space="preserve">  管理职责</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shd w:val="clear" w:color="auto" w:fill="FFFFFF"/>
        </w:rPr>
        <w:t>（一）</w:t>
      </w:r>
      <w:r>
        <w:rPr>
          <w:rFonts w:ascii="Times New Roman" w:hAnsi="Times New Roman" w:eastAsia="仿宋_GB2312"/>
          <w:color w:val="000000"/>
          <w:sz w:val="32"/>
          <w:szCs w:val="32"/>
          <w:shd w:val="clear" w:color="auto" w:fill="FFFFFF"/>
        </w:rPr>
        <w:t>实</w:t>
      </w:r>
      <w:r>
        <w:rPr>
          <w:rFonts w:ascii="Times New Roman" w:hAnsi="Times New Roman" w:eastAsia="仿宋_GB2312"/>
          <w:color w:val="000000"/>
          <w:spacing w:val="-4"/>
          <w:sz w:val="32"/>
          <w:szCs w:val="32"/>
          <w:shd w:val="clear" w:color="auto" w:fill="FFFFFF"/>
        </w:rPr>
        <w:t>验室安全管理委员会办公室负责全校实验室安全相关制度的建立与监督执行，负责“实验室安全教育与考试系统”的建设、维护，并对实验室安全准入制度的落实情况进行年度考核</w:t>
      </w:r>
      <w:r>
        <w:rPr>
          <w:rFonts w:ascii="Times New Roman" w:hAnsi="Times New Roman" w:eastAsia="仿宋_GB2312"/>
          <w:color w:val="000000"/>
          <w:sz w:val="32"/>
          <w:szCs w:val="32"/>
          <w:shd w:val="clear" w:color="auto" w:fill="FFFFFF"/>
        </w:rPr>
        <w:t>。</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shd w:val="clear" w:color="auto" w:fill="FFFFFF"/>
        </w:rPr>
        <w:t>（二）</w:t>
      </w:r>
      <w:r>
        <w:rPr>
          <w:rFonts w:ascii="Times New Roman" w:hAnsi="Times New Roman" w:eastAsia="仿宋_GB2312"/>
          <w:color w:val="000000"/>
          <w:sz w:val="32"/>
          <w:szCs w:val="32"/>
          <w:shd w:val="clear" w:color="auto" w:fill="FFFFFF"/>
        </w:rPr>
        <w:t>各学院、科研单位应将实验室安全培训作为安全教育工作的重要组成部分，负责组织、督促本学院本、专科生和研究生利用“实验室安全教育与考试系统”开展在线培训和准入考试工作。</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shd w:val="clear" w:color="auto" w:fill="FFFFFF"/>
        </w:rPr>
        <w:t>（三）</w:t>
      </w:r>
      <w:r>
        <w:rPr>
          <w:rFonts w:ascii="Times New Roman" w:hAnsi="Times New Roman" w:eastAsia="仿宋_GB2312"/>
          <w:color w:val="000000"/>
          <w:sz w:val="32"/>
          <w:szCs w:val="32"/>
          <w:shd w:val="clear" w:color="auto" w:fill="FFFFFF"/>
        </w:rPr>
        <w:t>各学院、科研单位指派专人具体负责本学院、本单位的“实验室安全教育与考试系统”的运行管理，确定学习与考试内容，确保本学院本、专科生和研究生顺利参加“实验室安全教育与考试系统”的在线学习和准入考试。各学院、科研单位根据各自专业实验室特点，按需建立二级单位实验室安全准入制度，对进入专业实验室的师生进行教育培训、操作培训和准入考试。</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黑体"/>
          <w:color w:val="000000"/>
          <w:sz w:val="32"/>
          <w:szCs w:val="32"/>
          <w:shd w:val="clear" w:color="auto" w:fill="FFFFFF"/>
        </w:rPr>
        <w:t>第三条</w:t>
      </w:r>
      <w:r>
        <w:rPr>
          <w:rFonts w:ascii="Times New Roman" w:hAnsi="Times New Roman" w:eastAsia="仿宋_GB2312"/>
          <w:color w:val="000000"/>
          <w:sz w:val="32"/>
          <w:szCs w:val="32"/>
          <w:shd w:val="clear" w:color="auto" w:fill="FFFFFF"/>
        </w:rPr>
        <w:t xml:space="preserve">  准入要求</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shd w:val="clear" w:color="auto" w:fill="FFFFFF"/>
        </w:rPr>
        <w:t>（一）</w:t>
      </w:r>
      <w:r>
        <w:rPr>
          <w:rFonts w:ascii="Times New Roman" w:hAnsi="Times New Roman" w:eastAsia="仿宋_GB2312"/>
          <w:color w:val="000000"/>
          <w:sz w:val="32"/>
          <w:szCs w:val="32"/>
          <w:shd w:val="clear" w:color="auto" w:fill="FFFFFF"/>
        </w:rPr>
        <w:t>本、专科学生、研究生等新生的实验室安全教育（含培训和考试）纳入学校新生入学教育，一般情况下学生在完成“实验室安全教育与考试系统”学习和考试合格、并签署实验室安全承诺书后，方可进入非特殊防护和技能要求的实验室开展实验活动。</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shd w:val="clear" w:color="auto" w:fill="FFFFFF"/>
        </w:rPr>
        <w:t>（二）</w:t>
      </w:r>
      <w:r>
        <w:rPr>
          <w:rFonts w:ascii="Times New Roman" w:hAnsi="Times New Roman" w:eastAsia="仿宋_GB2312"/>
          <w:color w:val="000000"/>
          <w:sz w:val="32"/>
          <w:szCs w:val="32"/>
          <w:shd w:val="clear" w:color="auto" w:fill="FFFFFF"/>
        </w:rPr>
        <w:t>师生如需要进入需特殊防护和技能要求的实验室开展实验活动，须经学院（或科研单位）指定的指导老师进行专项安全培训，并熟练掌握有关实验操作流程、仪器设备操作规程后，方可开展实验活动。各学院、科研单位可根据实验室专业的特点确定试题内容、考核时间等并在学院留档备案。</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shd w:val="clear" w:color="auto" w:fill="FFFFFF"/>
        </w:rPr>
        <w:t>（三）</w:t>
      </w:r>
      <w:r>
        <w:rPr>
          <w:rFonts w:ascii="Times New Roman" w:hAnsi="Times New Roman" w:eastAsia="仿宋_GB2312"/>
          <w:color w:val="000000"/>
          <w:sz w:val="32"/>
          <w:szCs w:val="32"/>
          <w:shd w:val="clear" w:color="auto" w:fill="FFFFFF"/>
        </w:rPr>
        <w:t>从事特种仪器设备和生物有害及存在其他危险因素的作业人员，须由各相关单位定期组织到指定部门，经专业培训或考核合格并取得相应操作证书后，方可进入实验室开展实验活动。</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shd w:val="clear" w:color="auto" w:fill="FFFFFF"/>
        </w:rPr>
        <w:t>（四）</w:t>
      </w:r>
      <w:r>
        <w:rPr>
          <w:rFonts w:ascii="Times New Roman" w:hAnsi="Times New Roman" w:eastAsia="仿宋_GB2312"/>
          <w:color w:val="000000"/>
          <w:sz w:val="32"/>
          <w:szCs w:val="32"/>
          <w:shd w:val="clear" w:color="auto" w:fill="FFFFFF"/>
        </w:rPr>
        <w:t>非本校人员需要进实验室开展实验活动的，须经学院或科研单位批准，所在实验室根据具体情况组织安全教育和考试，具体形式由实验室负责人确定并组织实施，考试成绩合格后，签署“实验室安全承诺书”，实施方案和结果须报学院或本单位备案。</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shd w:val="clear" w:color="auto" w:fill="FFFFFF"/>
        </w:rPr>
        <w:t>（五）</w:t>
      </w:r>
      <w:r>
        <w:rPr>
          <w:rFonts w:ascii="Times New Roman" w:hAnsi="Times New Roman" w:eastAsia="仿宋_GB2312"/>
          <w:color w:val="000000"/>
          <w:sz w:val="32"/>
          <w:szCs w:val="32"/>
          <w:shd w:val="clear" w:color="auto" w:fill="FFFFFF"/>
        </w:rPr>
        <w:t>师生进入实验室之前，学院或科研单位须核实其准入资格，未取得准入资格的人员不得进入实验室开展实验活动。</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shd w:val="clear" w:color="auto" w:fill="FFFFFF"/>
        </w:rPr>
        <w:t>（六）</w:t>
      </w:r>
      <w:r>
        <w:rPr>
          <w:rFonts w:ascii="Times New Roman" w:hAnsi="Times New Roman" w:eastAsia="仿宋_GB2312"/>
          <w:color w:val="000000"/>
          <w:sz w:val="32"/>
          <w:szCs w:val="32"/>
          <w:shd w:val="clear" w:color="auto" w:fill="FFFFFF"/>
        </w:rPr>
        <w:t>对于在使用实验室过程中发生安全事故的人员，本人必须书面查找原因，同时由学院或科研单位相关负责人对产生事故的原因进行分析，找出预防办法，并制定整改措施；如因个人违反有关规定的，须作相应的检查，经重新教育后，方可进入实验室开展实验活动。</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黑体"/>
          <w:color w:val="000000"/>
          <w:sz w:val="32"/>
          <w:szCs w:val="32"/>
          <w:shd w:val="clear" w:color="auto" w:fill="FFFFFF"/>
        </w:rPr>
        <w:t>第四条</w:t>
      </w:r>
      <w:r>
        <w:rPr>
          <w:rFonts w:hint="eastAsia" w:ascii="Times New Roman" w:hAnsi="Times New Roman" w:eastAsia="仿宋_GB2312"/>
          <w:color w:val="000000"/>
          <w:sz w:val="32"/>
          <w:szCs w:val="32"/>
          <w:shd w:val="clear" w:color="auto" w:fill="FFFFFF"/>
        </w:rPr>
        <w:t xml:space="preserve"> </w:t>
      </w:r>
      <w:r>
        <w:rPr>
          <w:rFonts w:ascii="Times New Roman" w:hAnsi="Times New Roman" w:eastAsia="仿宋_GB2312"/>
          <w:color w:val="000000"/>
          <w:sz w:val="32"/>
          <w:szCs w:val="32"/>
          <w:shd w:val="clear" w:color="auto" w:fill="FFFFFF"/>
        </w:rPr>
        <w:t xml:space="preserve"> 学习内容</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shd w:val="clear" w:color="auto" w:fill="FFFFFF"/>
        </w:rPr>
        <w:t>进入实验室开展实验活动的师生须不断充实本专业相关的实验室安全内容，参加学校、学院（或科研单位）组织的各种形式的安全培训，提高安全意识和防护意识，学习内容包括：</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shd w:val="clear" w:color="auto" w:fill="FFFFFF"/>
        </w:rPr>
        <w:t>（一）</w:t>
      </w:r>
      <w:r>
        <w:rPr>
          <w:rFonts w:ascii="Times New Roman" w:hAnsi="Times New Roman" w:eastAsia="仿宋_GB2312"/>
          <w:color w:val="000000"/>
          <w:sz w:val="32"/>
          <w:szCs w:val="32"/>
          <w:shd w:val="clear" w:color="auto" w:fill="FFFFFF"/>
        </w:rPr>
        <w:t>国家与地方关于高校实验室安全与环境保护方面的政策法规以及学校的相关规章制度。</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shd w:val="clear" w:color="auto" w:fill="FFFFFF"/>
        </w:rPr>
        <w:t>（二）</w:t>
      </w:r>
      <w:r>
        <w:rPr>
          <w:rFonts w:ascii="Times New Roman" w:hAnsi="Times New Roman" w:eastAsia="仿宋_GB2312"/>
          <w:color w:val="000000"/>
          <w:sz w:val="32"/>
          <w:szCs w:val="32"/>
          <w:shd w:val="clear" w:color="auto" w:fill="FFFFFF"/>
        </w:rPr>
        <w:t>实验室常规性安全（水电、消防等）、环境保护及废弃物处置常识。</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shd w:val="clear" w:color="auto" w:fill="FFFFFF"/>
        </w:rPr>
        <w:t>（三）</w:t>
      </w:r>
      <w:r>
        <w:rPr>
          <w:rFonts w:ascii="Times New Roman" w:hAnsi="Times New Roman" w:eastAsia="仿宋_GB2312"/>
          <w:color w:val="000000"/>
          <w:sz w:val="32"/>
          <w:szCs w:val="32"/>
          <w:shd w:val="clear" w:color="auto" w:fill="FFFFFF"/>
        </w:rPr>
        <w:t>实验室急救知识与事故应急处理知识。</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shd w:val="clear" w:color="auto" w:fill="FFFFFF"/>
        </w:rPr>
        <w:t>（四）</w:t>
      </w:r>
      <w:r>
        <w:rPr>
          <w:rFonts w:ascii="Times New Roman" w:hAnsi="Times New Roman" w:eastAsia="仿宋_GB2312"/>
          <w:color w:val="000000"/>
          <w:sz w:val="32"/>
          <w:szCs w:val="32"/>
          <w:shd w:val="clear" w:color="auto" w:fill="FFFFFF"/>
        </w:rPr>
        <w:t>专业实验室根据专业特点学习相关的专项安全教育和设备的操作规范（流程与注意事项）等。</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shd w:val="clear" w:color="auto" w:fill="FFFFFF"/>
        </w:rPr>
        <w:t>（五）</w:t>
      </w:r>
      <w:r>
        <w:rPr>
          <w:rFonts w:ascii="Times New Roman" w:hAnsi="Times New Roman" w:eastAsia="仿宋_GB2312"/>
          <w:color w:val="000000"/>
          <w:sz w:val="32"/>
          <w:szCs w:val="32"/>
          <w:shd w:val="clear" w:color="auto" w:fill="FFFFFF"/>
        </w:rPr>
        <w:t>对环境有危害的各类实验，须进行相关的环境保护知识培训。</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黑体"/>
          <w:color w:val="000000"/>
          <w:sz w:val="32"/>
          <w:szCs w:val="32"/>
          <w:shd w:val="clear" w:color="auto" w:fill="FFFFFF"/>
        </w:rPr>
        <w:t>第五条</w:t>
      </w:r>
      <w:r>
        <w:rPr>
          <w:rFonts w:hint="eastAsia" w:ascii="Times New Roman" w:hAnsi="Times New Roman" w:eastAsia="仿宋_GB2312"/>
          <w:color w:val="000000"/>
          <w:sz w:val="32"/>
          <w:szCs w:val="32"/>
          <w:shd w:val="clear" w:color="auto" w:fill="FFFFFF"/>
        </w:rPr>
        <w:t xml:space="preserve"> </w:t>
      </w:r>
      <w:r>
        <w:rPr>
          <w:rFonts w:ascii="Times New Roman" w:hAnsi="Times New Roman" w:eastAsia="仿宋_GB2312"/>
          <w:color w:val="000000"/>
          <w:sz w:val="32"/>
          <w:szCs w:val="32"/>
          <w:shd w:val="clear" w:color="auto" w:fill="FFFFFF"/>
        </w:rPr>
        <w:t xml:space="preserve"> 学习方式</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shd w:val="clear" w:color="auto" w:fill="FFFFFF"/>
        </w:rPr>
        <w:t>（一）</w:t>
      </w:r>
      <w:r>
        <w:rPr>
          <w:rFonts w:ascii="Times New Roman" w:hAnsi="Times New Roman" w:eastAsia="仿宋_GB2312"/>
          <w:color w:val="000000"/>
          <w:sz w:val="32"/>
          <w:szCs w:val="32"/>
          <w:shd w:val="clear" w:color="auto" w:fill="FFFFFF"/>
        </w:rPr>
        <w:t>通过江汉大学“实验室安全教育与考试系统”在线学习；</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shd w:val="clear" w:color="auto" w:fill="FFFFFF"/>
        </w:rPr>
        <w:t>（二）</w:t>
      </w:r>
      <w:r>
        <w:rPr>
          <w:rFonts w:ascii="Times New Roman" w:hAnsi="Times New Roman" w:eastAsia="仿宋_GB2312"/>
          <w:color w:val="000000"/>
          <w:sz w:val="32"/>
          <w:szCs w:val="32"/>
          <w:shd w:val="clear" w:color="auto" w:fill="FFFFFF"/>
        </w:rPr>
        <w:t>通过《江汉大学实验室安全手册》和其他网络或书刊等形式自行学习实验室安全知识；</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shd w:val="clear" w:color="auto" w:fill="FFFFFF"/>
        </w:rPr>
        <w:t>（三）</w:t>
      </w:r>
      <w:r>
        <w:rPr>
          <w:rFonts w:ascii="Times New Roman" w:hAnsi="Times New Roman" w:eastAsia="仿宋_GB2312"/>
          <w:color w:val="000000"/>
          <w:sz w:val="32"/>
          <w:szCs w:val="32"/>
          <w:shd w:val="clear" w:color="auto" w:fill="FFFFFF"/>
        </w:rPr>
        <w:t>通过学校和学院组织的实验室专项安全与环境保护知识培训、高校实验室安全事故案例、个人防护等安全讲座，或外出学习考察、参加校外培训、安全知识竞赛和安全预案的演练等形式学习。</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黑体"/>
          <w:color w:val="000000"/>
          <w:sz w:val="32"/>
          <w:szCs w:val="32"/>
          <w:shd w:val="clear" w:color="auto" w:fill="FFFFFF"/>
        </w:rPr>
        <w:t>第六条</w:t>
      </w:r>
      <w:r>
        <w:rPr>
          <w:rFonts w:ascii="Times New Roman" w:hAnsi="Times New Roman" w:eastAsia="仿宋_GB2312"/>
          <w:color w:val="000000"/>
          <w:sz w:val="32"/>
          <w:szCs w:val="32"/>
          <w:shd w:val="clear" w:color="auto" w:fill="FFFFFF"/>
        </w:rPr>
        <w:t xml:space="preserve">  实验室准入资格的取得</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shd w:val="clear" w:color="auto" w:fill="FFFFFF"/>
        </w:rPr>
        <w:t>（一）</w:t>
      </w:r>
      <w:r>
        <w:rPr>
          <w:rFonts w:ascii="Times New Roman" w:hAnsi="Times New Roman" w:eastAsia="仿宋_GB2312"/>
          <w:color w:val="000000"/>
          <w:sz w:val="32"/>
          <w:szCs w:val="32"/>
          <w:shd w:val="clear" w:color="auto" w:fill="FFFFFF"/>
        </w:rPr>
        <w:t>参加本学院、科研单位组织的“实验室安全教育与考试系统”的在线学习和在线考试，成绩合格，并签订安全责任承诺书，达到学校规定要求的；</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shd w:val="clear" w:color="auto" w:fill="FFFFFF"/>
        </w:rPr>
        <w:t>（二）</w:t>
      </w:r>
      <w:r>
        <w:rPr>
          <w:rFonts w:ascii="Times New Roman" w:hAnsi="Times New Roman" w:eastAsia="仿宋_GB2312"/>
          <w:color w:val="000000"/>
          <w:sz w:val="32"/>
          <w:szCs w:val="32"/>
          <w:shd w:val="clear" w:color="auto" w:fill="FFFFFF"/>
        </w:rPr>
        <w:t>对于有特殊防护和技能要求的实验室，须经相关学院或科研实验室确认并予以授权方可进入。</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黑体"/>
          <w:color w:val="000000"/>
          <w:sz w:val="32"/>
          <w:szCs w:val="32"/>
          <w:shd w:val="clear" w:color="auto" w:fill="FFFFFF"/>
        </w:rPr>
        <w:t>第七条</w:t>
      </w:r>
      <w:r>
        <w:rPr>
          <w:rFonts w:ascii="Times New Roman" w:hAnsi="Times New Roman" w:eastAsia="仿宋_GB2312"/>
          <w:color w:val="000000"/>
          <w:sz w:val="32"/>
          <w:szCs w:val="32"/>
          <w:shd w:val="clear" w:color="auto" w:fill="FFFFFF"/>
        </w:rPr>
        <w:t xml:space="preserve">  本制度自发布之日起施行。</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黑体"/>
          <w:color w:val="000000"/>
          <w:sz w:val="32"/>
          <w:szCs w:val="32"/>
          <w:shd w:val="clear" w:color="auto" w:fill="FFFFFF"/>
        </w:rPr>
        <w:t>第八条</w:t>
      </w:r>
      <w:r>
        <w:rPr>
          <w:rFonts w:ascii="Times New Roman" w:hAnsi="Times New Roman" w:eastAsia="仿宋_GB2312"/>
          <w:color w:val="000000"/>
          <w:sz w:val="32"/>
          <w:szCs w:val="32"/>
          <w:shd w:val="clear" w:color="auto" w:fill="FFFFFF"/>
        </w:rPr>
        <w:t xml:space="preserve">  本制度由实验室安全管理委员会办公室负责解释。</w:t>
      </w:r>
    </w:p>
    <w:p>
      <w:pPr>
        <w:widowControl/>
        <w:jc w:val="left"/>
        <w:rPr>
          <w:rFonts w:ascii="方正小标宋简体" w:hAnsi="黑体" w:eastAsia="方正小标宋简体" w:cs="黑体"/>
          <w:kern w:val="0"/>
          <w:sz w:val="44"/>
          <w:szCs w:val="44"/>
        </w:rPr>
      </w:pPr>
      <w:r>
        <w:rPr>
          <w:rFonts w:ascii="方正小标宋简体" w:hAnsi="黑体" w:eastAsia="方正小标宋简体" w:cs="黑体"/>
          <w:kern w:val="0"/>
          <w:sz w:val="44"/>
          <w:szCs w:val="44"/>
        </w:rPr>
        <w:br w:type="page"/>
      </w:r>
    </w:p>
    <w:p>
      <w:pPr>
        <w:widowControl/>
        <w:spacing w:line="720" w:lineRule="exact"/>
        <w:jc w:val="center"/>
        <w:rPr>
          <w:rFonts w:ascii="方正小标宋简体" w:hAnsi="宋体" w:eastAsia="方正小标宋简体" w:cs="宋体"/>
          <w:kern w:val="0"/>
          <w:sz w:val="44"/>
          <w:szCs w:val="44"/>
        </w:rPr>
      </w:pPr>
      <w:r>
        <w:rPr>
          <w:rFonts w:hint="eastAsia" w:ascii="方正小标宋简体" w:hAnsi="黑体" w:eastAsia="方正小标宋简体" w:cs="黑体"/>
          <w:kern w:val="0"/>
          <w:sz w:val="44"/>
          <w:szCs w:val="44"/>
        </w:rPr>
        <w:t>江汉大学实验室安全检查制度</w:t>
      </w:r>
    </w:p>
    <w:p>
      <w:pPr>
        <w:widowControl/>
        <w:jc w:val="left"/>
        <w:rPr>
          <w:rFonts w:ascii="宋体" w:hAnsi="宋体" w:eastAsia="宋体" w:cs="宋体"/>
          <w:kern w:val="0"/>
          <w:sz w:val="24"/>
        </w:rPr>
      </w:pP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为加强我校实验室安全工作的制度化、规范化管理，及时发现和排除实验室安全隐患，保证实验室的安全，保障实验教学和科研工作的正常进行，根据《国务院安委会办公室关于开展2018年全国“安全生产月”和“安全生产万里行”活动的通知》（安委办〔2018〕8号）、《教育部关于加强高校实验室安全工作的意见》（教技函</w:t>
      </w:r>
      <w:r>
        <w:rPr>
          <w:rFonts w:hint="eastAsia" w:ascii="仿宋_GB2312"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2019</w:t>
      </w:r>
      <w:r>
        <w:rPr>
          <w:rFonts w:hint="eastAsia" w:ascii="仿宋_GB2312"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36号）、《教育部办公厅关于加强高校教学实验室安全工作的通知》（教高厅〔2017〕2号）和《教育部科技司关于开展2018年度高等学校科研实验室安全检查工作的通知》（教科司〔2018〕254号）、《江汉大学实验室安全管理制度》等文件精神，结合学校实际情况，制定本制度。</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黑体"/>
          <w:color w:val="000000"/>
          <w:sz w:val="32"/>
          <w:szCs w:val="32"/>
          <w:shd w:val="clear" w:color="auto" w:fill="FFFFFF"/>
        </w:rPr>
        <w:t>第一条</w:t>
      </w:r>
      <w:r>
        <w:rPr>
          <w:rFonts w:ascii="Times New Roman" w:hAnsi="Times New Roman" w:eastAsia="仿宋_GB2312"/>
          <w:color w:val="000000"/>
          <w:sz w:val="32"/>
          <w:szCs w:val="32"/>
          <w:shd w:val="clear" w:color="auto" w:fill="FFFFFF"/>
        </w:rPr>
        <w:t xml:space="preserve">  适用范围</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本制度适用于全校范围内开展教学、科研的实验、实训场所。</w:t>
      </w:r>
    </w:p>
    <w:p>
      <w:pPr>
        <w:pStyle w:val="5"/>
        <w:numPr>
          <w:ilvl w:val="0"/>
          <w:numId w:val="1"/>
        </w:numPr>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 xml:space="preserve"> </w:t>
      </w:r>
      <w:r>
        <w:rPr>
          <w:rFonts w:ascii="Times New Roman" w:hAnsi="Times New Roman" w:eastAsia="仿宋_GB2312"/>
          <w:color w:val="000000"/>
          <w:sz w:val="32"/>
          <w:szCs w:val="32"/>
          <w:shd w:val="clear" w:color="auto" w:fill="FFFFFF"/>
        </w:rPr>
        <w:t>检查方式及要求</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（一）</w:t>
      </w:r>
      <w:r>
        <w:rPr>
          <w:rFonts w:ascii="Times New Roman" w:hAnsi="Times New Roman" w:eastAsia="仿宋_GB2312"/>
          <w:color w:val="000000"/>
          <w:sz w:val="32"/>
          <w:szCs w:val="32"/>
          <w:shd w:val="clear" w:color="auto" w:fill="FFFFFF"/>
        </w:rPr>
        <w:t>检查方式分日常检查（含节假日例行检查）、安全巡查、安全专项检查等。</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（二）</w:t>
      </w:r>
      <w:r>
        <w:rPr>
          <w:rFonts w:ascii="Times New Roman" w:hAnsi="Times New Roman" w:eastAsia="仿宋_GB2312"/>
          <w:color w:val="000000"/>
          <w:sz w:val="32"/>
          <w:szCs w:val="32"/>
          <w:shd w:val="clear" w:color="auto" w:fill="FFFFFF"/>
        </w:rPr>
        <w:t>各二级单位均需设置安全员，负责实验室日常安全检查、巡查工作。</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（三）</w:t>
      </w:r>
      <w:r>
        <w:rPr>
          <w:rFonts w:ascii="Times New Roman" w:hAnsi="Times New Roman" w:eastAsia="仿宋_GB2312"/>
          <w:color w:val="000000"/>
          <w:sz w:val="32"/>
          <w:szCs w:val="32"/>
          <w:shd w:val="clear" w:color="auto" w:fill="FFFFFF"/>
        </w:rPr>
        <w:t>建立三级安全检查台账，各实验室要建立安全检查和值日台账，且记录规范。学校、各学院（科研单位）应建立实验室安全检查台账，规范记录每次检查情况，并存档备查。</w:t>
      </w:r>
    </w:p>
    <w:p>
      <w:pPr>
        <w:pStyle w:val="5"/>
        <w:numPr>
          <w:ilvl w:val="0"/>
          <w:numId w:val="1"/>
        </w:numPr>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 xml:space="preserve"> </w:t>
      </w:r>
      <w:r>
        <w:rPr>
          <w:rFonts w:ascii="Times New Roman" w:hAnsi="Times New Roman" w:eastAsia="仿宋_GB2312"/>
          <w:color w:val="000000"/>
          <w:sz w:val="32"/>
          <w:szCs w:val="32"/>
          <w:shd w:val="clear" w:color="auto" w:fill="FFFFFF"/>
        </w:rPr>
        <w:t>检查内容</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（一）</w:t>
      </w:r>
      <w:r>
        <w:rPr>
          <w:rFonts w:ascii="Times New Roman" w:hAnsi="Times New Roman" w:eastAsia="仿宋_GB2312"/>
          <w:color w:val="000000"/>
          <w:sz w:val="32"/>
          <w:szCs w:val="32"/>
          <w:shd w:val="clear" w:color="auto" w:fill="FFFFFF"/>
        </w:rPr>
        <w:t>专项安全检查的主要内容包括：（1）实验室安全宣传教育及培训情况；（2）实验室安全制度及责任落实情况；（3）实验室安全工作档案建立健全情况；（4）危险化学品的使用管理情况；（5）实验室安全设施、器材配置及有效情况；（6）实验室安全隐患和隐患整改情况；（7）其他需要检查的内容。</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（二）</w:t>
      </w:r>
      <w:r>
        <w:rPr>
          <w:rFonts w:ascii="Times New Roman" w:hAnsi="Times New Roman" w:eastAsia="仿宋_GB2312"/>
          <w:color w:val="000000"/>
          <w:sz w:val="32"/>
          <w:szCs w:val="32"/>
          <w:shd w:val="clear" w:color="auto" w:fill="FFFFFF"/>
        </w:rPr>
        <w:t>安全巡查的主要内容包括：按《江汉大学实验室安全风险评估标准》（附件），对所有不符合实验室安全管理规定的事项、行为等等进行安全风险评估，对存在安全隐患的实验室下达整改通知，存在重大安全隐患的实验室，可下达立即停止运行整改通知。</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（三）</w:t>
      </w:r>
      <w:r>
        <w:rPr>
          <w:rFonts w:ascii="Times New Roman" w:hAnsi="Times New Roman" w:eastAsia="仿宋_GB2312"/>
          <w:color w:val="000000"/>
          <w:sz w:val="32"/>
          <w:szCs w:val="32"/>
          <w:shd w:val="clear" w:color="auto" w:fill="FFFFFF"/>
        </w:rPr>
        <w:t>日常安全检查：实验室责任人应做好所属实验室日常检查工作，主要对水、电、气、危险化学品、易制毒化学品、特种设备、精密仪器、实验废弃物、门窗等方面进行安全检查；定期检查防火、防漏电、防盗窃的安全措施落实情况、防盗设备运行情况、消防器材完好情况、三废的处理是否符合有关规定。</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实验室责任人下班前要检查门窗、水、电等有关设施的关闭情况，重点关注电器设备、线路、开关、插座等用电设备是否安全，长时间不用的是否已断电。确认安全无误，方可离室。</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（四）</w:t>
      </w:r>
      <w:r>
        <w:rPr>
          <w:rFonts w:ascii="Times New Roman" w:hAnsi="Times New Roman" w:eastAsia="仿宋_GB2312"/>
          <w:color w:val="000000"/>
          <w:sz w:val="32"/>
          <w:szCs w:val="32"/>
          <w:shd w:val="clear" w:color="auto" w:fill="FFFFFF"/>
        </w:rPr>
        <w:t>节假日前管理人员要进行详细安全检查后封门。假期值班人员要认真检查值班范围内的实验室的安全情况，检查中发现异常情况时应及时处理和报告相关部门。</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（五）</w:t>
      </w:r>
      <w:r>
        <w:rPr>
          <w:rFonts w:ascii="Times New Roman" w:hAnsi="Times New Roman" w:eastAsia="仿宋_GB2312"/>
          <w:color w:val="000000"/>
          <w:sz w:val="32"/>
          <w:szCs w:val="32"/>
          <w:shd w:val="clear" w:color="auto" w:fill="FFFFFF"/>
        </w:rPr>
        <w:t>学校每年组织两次实验室安全检查，各学院（部）每季度进行一次本单位实验室安全检查，学校不定期抽查实验室安全状况，抽查情况记录在案。</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（六）</w:t>
      </w:r>
      <w:r>
        <w:rPr>
          <w:rFonts w:ascii="Times New Roman" w:hAnsi="Times New Roman" w:eastAsia="仿宋_GB2312"/>
          <w:color w:val="000000"/>
          <w:sz w:val="32"/>
          <w:szCs w:val="32"/>
          <w:shd w:val="clear" w:color="auto" w:fill="FFFFFF"/>
        </w:rPr>
        <w:t>日常安全检查由各实验室责任人负责；安全巡查分院（科研单位）、校两级，二级单位由各单位分管安全领导及安全员负责，校级由各分管职能部门分管安全人员及校督导组成。</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黑体"/>
          <w:color w:val="000000"/>
          <w:sz w:val="32"/>
          <w:szCs w:val="32"/>
          <w:shd w:val="clear" w:color="auto" w:fill="FFFFFF"/>
        </w:rPr>
        <w:t>第</w:t>
      </w:r>
      <w:r>
        <w:rPr>
          <w:rFonts w:hint="eastAsia" w:ascii="Times New Roman" w:hAnsi="Times New Roman" w:eastAsia="黑体"/>
          <w:color w:val="000000"/>
          <w:sz w:val="32"/>
          <w:szCs w:val="32"/>
          <w:shd w:val="clear" w:color="auto" w:fill="FFFFFF"/>
        </w:rPr>
        <w:t>四</w:t>
      </w:r>
      <w:r>
        <w:rPr>
          <w:rFonts w:ascii="Times New Roman" w:hAnsi="Times New Roman" w:eastAsia="黑体"/>
          <w:color w:val="000000"/>
          <w:sz w:val="32"/>
          <w:szCs w:val="32"/>
          <w:shd w:val="clear" w:color="auto" w:fill="FFFFFF"/>
        </w:rPr>
        <w:t>条</w:t>
      </w:r>
      <w:r>
        <w:rPr>
          <w:rFonts w:ascii="Times New Roman" w:hAnsi="Times New Roman" w:eastAsia="仿宋_GB2312"/>
          <w:color w:val="000000"/>
          <w:sz w:val="32"/>
          <w:szCs w:val="32"/>
          <w:shd w:val="clear" w:color="auto" w:fill="FFFFFF"/>
        </w:rPr>
        <w:t xml:space="preserve">  处理方式</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（一）</w:t>
      </w:r>
      <w:r>
        <w:rPr>
          <w:rFonts w:ascii="Times New Roman" w:hAnsi="Times New Roman" w:eastAsia="仿宋_GB2312"/>
          <w:color w:val="000000"/>
          <w:sz w:val="32"/>
          <w:szCs w:val="32"/>
          <w:shd w:val="clear" w:color="auto" w:fill="FFFFFF"/>
        </w:rPr>
        <w:t>学校、各学院（部）在检查过程中发现的问题，应向被查实验室下发整改通知书等，并规范存档。</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（二）</w:t>
      </w:r>
      <w:r>
        <w:rPr>
          <w:rFonts w:ascii="Times New Roman" w:hAnsi="Times New Roman" w:eastAsia="仿宋_GB2312"/>
          <w:color w:val="000000"/>
          <w:sz w:val="32"/>
          <w:szCs w:val="32"/>
          <w:shd w:val="clear" w:color="auto" w:fill="FFFFFF"/>
        </w:rPr>
        <w:t>学校、各学院（部）在检查过程中发现的违反国家有关法律法规、学校规章制度的实验室或个人，学校将按有关规定，视情况对相关责任人、责任实验室进行责任追究。</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（三）</w:t>
      </w:r>
      <w:r>
        <w:rPr>
          <w:rFonts w:ascii="Times New Roman" w:hAnsi="Times New Roman" w:eastAsia="仿宋_GB2312"/>
          <w:color w:val="000000"/>
          <w:sz w:val="32"/>
          <w:szCs w:val="32"/>
          <w:shd w:val="clear" w:color="auto" w:fill="FFFFFF"/>
        </w:rPr>
        <w:t>各实验室对学校、学院（部）检查发现的安全问题和隐患，应及时采取措施进行整改。无法整改的，应及时向学院（部）及上级部门报告，提出整改方案，确定整改措施、期限，落实整改资金。安全隐患尚未消除的，应当采取有效的应急防范措施，保障安全。</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（四）</w:t>
      </w:r>
      <w:r>
        <w:rPr>
          <w:rFonts w:ascii="Times New Roman" w:hAnsi="Times New Roman" w:eastAsia="仿宋_GB2312"/>
          <w:color w:val="000000"/>
          <w:sz w:val="32"/>
          <w:szCs w:val="32"/>
          <w:shd w:val="clear" w:color="auto" w:fill="FFFFFF"/>
        </w:rPr>
        <w:t>实验室安全问题和隐患的具体整改措施，应如实记录，并存档备查。</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黑体"/>
          <w:color w:val="000000"/>
          <w:sz w:val="32"/>
          <w:szCs w:val="32"/>
          <w:shd w:val="clear" w:color="auto" w:fill="FFFFFF"/>
        </w:rPr>
        <w:t>第</w:t>
      </w:r>
      <w:r>
        <w:rPr>
          <w:rFonts w:hint="eastAsia" w:ascii="Times New Roman" w:hAnsi="Times New Roman" w:eastAsia="黑体"/>
          <w:color w:val="000000"/>
          <w:sz w:val="32"/>
          <w:szCs w:val="32"/>
          <w:shd w:val="clear" w:color="auto" w:fill="FFFFFF"/>
        </w:rPr>
        <w:t>五</w:t>
      </w:r>
      <w:r>
        <w:rPr>
          <w:rFonts w:ascii="Times New Roman" w:hAnsi="Times New Roman" w:eastAsia="黑体"/>
          <w:color w:val="000000"/>
          <w:sz w:val="32"/>
          <w:szCs w:val="32"/>
          <w:shd w:val="clear" w:color="auto" w:fill="FFFFFF"/>
        </w:rPr>
        <w:t>条</w:t>
      </w:r>
      <w:r>
        <w:rPr>
          <w:rFonts w:ascii="Times New Roman" w:hAnsi="Times New Roman" w:eastAsia="仿宋_GB2312"/>
          <w:color w:val="000000"/>
          <w:sz w:val="32"/>
          <w:szCs w:val="32"/>
          <w:shd w:val="clear" w:color="auto" w:fill="FFFFFF"/>
        </w:rPr>
        <w:t xml:space="preserve">  本制度自发布之日起施行。</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黑体"/>
          <w:color w:val="000000"/>
          <w:sz w:val="32"/>
          <w:szCs w:val="32"/>
          <w:shd w:val="clear" w:color="auto" w:fill="FFFFFF"/>
        </w:rPr>
        <w:t>第</w:t>
      </w:r>
      <w:r>
        <w:rPr>
          <w:rFonts w:hint="eastAsia" w:ascii="Times New Roman" w:hAnsi="Times New Roman" w:eastAsia="黑体"/>
          <w:color w:val="000000"/>
          <w:sz w:val="32"/>
          <w:szCs w:val="32"/>
          <w:shd w:val="clear" w:color="auto" w:fill="FFFFFF"/>
        </w:rPr>
        <w:t>六</w:t>
      </w:r>
      <w:r>
        <w:rPr>
          <w:rFonts w:ascii="Times New Roman" w:hAnsi="Times New Roman" w:eastAsia="黑体"/>
          <w:color w:val="000000"/>
          <w:sz w:val="32"/>
          <w:szCs w:val="32"/>
          <w:shd w:val="clear" w:color="auto" w:fill="FFFFFF"/>
        </w:rPr>
        <w:t>条</w:t>
      </w:r>
      <w:r>
        <w:rPr>
          <w:rFonts w:ascii="Times New Roman" w:hAnsi="Times New Roman" w:eastAsia="仿宋_GB2312"/>
          <w:color w:val="000000"/>
          <w:sz w:val="32"/>
          <w:szCs w:val="32"/>
          <w:shd w:val="clear" w:color="auto" w:fill="FFFFFF"/>
        </w:rPr>
        <w:t xml:space="preserve">  本制度由实验室安全管理委员会办公室负责解释。</w:t>
      </w:r>
    </w:p>
    <w:p>
      <w:pPr>
        <w:pStyle w:val="5"/>
        <w:widowControl/>
        <w:shd w:val="clear" w:color="auto" w:fill="FFFFFF"/>
        <w:spacing w:line="555" w:lineRule="atLeast"/>
        <w:ind w:firstLine="560" w:firstLineChars="200"/>
        <w:rPr>
          <w:rFonts w:ascii="仿宋" w:hAnsi="仿宋" w:eastAsia="仿宋" w:cs="仿宋"/>
          <w:color w:val="000000"/>
          <w:sz w:val="28"/>
          <w:szCs w:val="28"/>
          <w:shd w:val="clear" w:color="auto" w:fill="FFFFFF"/>
        </w:rPr>
      </w:pPr>
    </w:p>
    <w:p>
      <w:pPr>
        <w:pStyle w:val="5"/>
        <w:widowControl/>
        <w:shd w:val="clear" w:color="auto" w:fill="FFFFFF"/>
        <w:spacing w:before="0" w:beforeAutospacing="0" w:after="0" w:afterAutospacing="0" w:line="560" w:lineRule="exact"/>
        <w:rPr>
          <w:rFonts w:ascii="黑体" w:hAnsi="黑体" w:eastAsia="黑体" w:cs="仿宋"/>
          <w:color w:val="000000"/>
          <w:sz w:val="32"/>
          <w:szCs w:val="32"/>
          <w:shd w:val="clear" w:color="auto" w:fill="FFFFFF"/>
        </w:rPr>
      </w:pPr>
      <w:r>
        <w:rPr>
          <w:rFonts w:hint="eastAsia" w:ascii="黑体" w:hAnsi="黑体" w:eastAsia="黑体" w:cs="仿宋"/>
          <w:color w:val="000000"/>
          <w:sz w:val="32"/>
          <w:szCs w:val="32"/>
          <w:shd w:val="clear" w:color="auto" w:fill="FFFFFF"/>
        </w:rPr>
        <w:t>附件</w:t>
      </w:r>
    </w:p>
    <w:p>
      <w:pPr>
        <w:pStyle w:val="5"/>
        <w:widowControl/>
        <w:shd w:val="clear" w:color="auto" w:fill="FFFFFF"/>
        <w:spacing w:before="0" w:beforeAutospacing="0" w:after="0" w:afterAutospacing="0" w:line="720" w:lineRule="exact"/>
        <w:jc w:val="center"/>
        <w:rPr>
          <w:rFonts w:eastAsia="方正小标宋简体"/>
          <w:sz w:val="44"/>
          <w:szCs w:val="44"/>
        </w:rPr>
      </w:pPr>
      <w:r>
        <w:rPr>
          <w:rFonts w:hint="eastAsia" w:eastAsia="方正小标宋简体"/>
          <w:sz w:val="44"/>
          <w:szCs w:val="44"/>
        </w:rPr>
        <w:t>江汉大学实验室安全风险等级评估标准</w:t>
      </w:r>
    </w:p>
    <w:p>
      <w:pPr>
        <w:adjustRightInd w:val="0"/>
        <w:snapToGrid w:val="0"/>
        <w:spacing w:beforeLines="50" w:line="500" w:lineRule="exact"/>
        <w:jc w:val="left"/>
        <w:rPr>
          <w:b/>
          <w:sz w:val="28"/>
          <w:szCs w:val="30"/>
        </w:rPr>
      </w:pPr>
      <w:r>
        <w:rPr>
          <w:rFonts w:hint="eastAsia"/>
          <w:b/>
          <w:sz w:val="28"/>
          <w:szCs w:val="30"/>
        </w:rPr>
        <w:t>实验室名称：</w:t>
      </w:r>
    </w:p>
    <w:tbl>
      <w:tblPr>
        <w:tblStyle w:val="8"/>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26"/>
        <w:gridCol w:w="5599"/>
        <w:gridCol w:w="715"/>
        <w:gridCol w:w="758"/>
        <w:gridCol w:w="141"/>
        <w:gridCol w:w="360"/>
        <w:gridCol w:w="20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826"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黑体"/>
                <w:b/>
                <w:bCs/>
                <w:kern w:val="0"/>
                <w:szCs w:val="21"/>
              </w:rPr>
            </w:pPr>
            <w:r>
              <w:rPr>
                <w:rFonts w:hint="eastAsia" w:eastAsia="黑体"/>
                <w:b/>
                <w:bCs/>
                <w:kern w:val="0"/>
                <w:szCs w:val="21"/>
              </w:rPr>
              <w:t>序号</w:t>
            </w:r>
          </w:p>
        </w:tc>
        <w:tc>
          <w:tcPr>
            <w:tcW w:w="5599"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黑体"/>
                <w:b/>
                <w:bCs/>
                <w:kern w:val="0"/>
                <w:szCs w:val="21"/>
              </w:rPr>
            </w:pPr>
            <w:r>
              <w:rPr>
                <w:rFonts w:hint="eastAsia" w:eastAsia="黑体"/>
                <w:b/>
                <w:bCs/>
                <w:kern w:val="0"/>
                <w:szCs w:val="21"/>
              </w:rPr>
              <w:t>检查项目</w:t>
            </w:r>
          </w:p>
        </w:tc>
        <w:tc>
          <w:tcPr>
            <w:tcW w:w="2890" w:type="dxa"/>
            <w:gridSpan w:val="6"/>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黑体"/>
                <w:b/>
                <w:bCs/>
                <w:kern w:val="0"/>
                <w:szCs w:val="21"/>
              </w:rPr>
            </w:pPr>
            <w:r>
              <w:rPr>
                <w:rFonts w:hint="eastAsia" w:eastAsia="黑体"/>
                <w:b/>
                <w:bCs/>
                <w:kern w:val="0"/>
                <w:szCs w:val="21"/>
              </w:rPr>
              <w:t>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blHeader/>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黑体"/>
                <w:b/>
                <w:bCs/>
                <w:kern w:val="0"/>
                <w:szCs w:val="21"/>
              </w:rPr>
            </w:pPr>
          </w:p>
        </w:tc>
        <w:tc>
          <w:tcPr>
            <w:tcW w:w="55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黑体"/>
                <w:b/>
                <w:bCs/>
                <w:kern w:val="0"/>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黑体"/>
                <w:b/>
                <w:bCs/>
                <w:kern w:val="0"/>
                <w:szCs w:val="21"/>
              </w:rPr>
            </w:pPr>
            <w:r>
              <w:rPr>
                <w:rFonts w:hint="eastAsia" w:eastAsia="黑体"/>
                <w:b/>
                <w:bCs/>
                <w:kern w:val="0"/>
                <w:szCs w:val="21"/>
              </w:rPr>
              <w:t>符合</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黑体"/>
                <w:b/>
                <w:bCs/>
                <w:spacing w:val="-22"/>
                <w:kern w:val="0"/>
                <w:szCs w:val="21"/>
              </w:rPr>
            </w:pPr>
            <w:r>
              <w:rPr>
                <w:rFonts w:hint="eastAsia" w:eastAsia="黑体"/>
                <w:b/>
                <w:bCs/>
                <w:spacing w:val="-22"/>
                <w:kern w:val="0"/>
                <w:szCs w:val="21"/>
              </w:rPr>
              <w:t>不符合</w:t>
            </w:r>
          </w:p>
        </w:tc>
        <w:tc>
          <w:tcPr>
            <w:tcW w:w="708"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黑体"/>
                <w:b/>
                <w:bCs/>
                <w:spacing w:val="-22"/>
                <w:kern w:val="0"/>
                <w:szCs w:val="21"/>
              </w:rPr>
            </w:pPr>
            <w:r>
              <w:rPr>
                <w:rFonts w:hint="eastAsia" w:eastAsia="黑体"/>
                <w:b/>
                <w:bCs/>
                <w:spacing w:val="-22"/>
                <w:kern w:val="0"/>
                <w:szCs w:val="21"/>
              </w:rPr>
              <w:t>不适用</w:t>
            </w:r>
          </w:p>
        </w:tc>
        <w:tc>
          <w:tcPr>
            <w:tcW w:w="709" w:type="dxa"/>
            <w:tcBorders>
              <w:top w:val="single" w:color="auto" w:sz="4" w:space="0"/>
              <w:left w:val="single" w:color="auto" w:sz="4" w:space="0"/>
              <w:bottom w:val="single" w:color="auto" w:sz="4" w:space="0"/>
              <w:right w:val="single" w:color="auto" w:sz="4" w:space="0"/>
            </w:tcBorders>
          </w:tcPr>
          <w:p>
            <w:pPr>
              <w:widowControl/>
              <w:spacing w:line="260" w:lineRule="exact"/>
              <w:jc w:val="center"/>
            </w:pPr>
            <w:r>
              <w:rPr>
                <w:rFonts w:hint="eastAsia" w:eastAsia="黑体"/>
                <w:b/>
                <w:bCs/>
                <w:kern w:val="0"/>
                <w:szCs w:val="21"/>
              </w:rPr>
              <w:t>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1</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Cs/>
                <w:kern w:val="0"/>
                <w:szCs w:val="21"/>
              </w:rPr>
            </w:pPr>
            <w:r>
              <w:rPr>
                <w:bCs/>
                <w:kern w:val="0"/>
                <w:szCs w:val="21"/>
              </w:rPr>
              <w:t>1.1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Cs/>
                <w:kern w:val="0"/>
                <w:szCs w:val="21"/>
              </w:rPr>
            </w:pPr>
            <w:r>
              <w:rPr>
                <w:rFonts w:hint="eastAsia"/>
                <w:bCs/>
                <w:kern w:val="0"/>
                <w:szCs w:val="21"/>
              </w:rPr>
              <w:t>具有学科特色的实验室安全管理制度</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1.2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有安全检查与值班值日制度</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1.3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有仪器设备的安全操作规程（包括大型仪器，高温、高速、高压、强磁、低温等设备），并上墙</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1.4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危险性实验有操作规程（含安全注意事项），并上墙</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1.5</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有体现学科特色的应急预案</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2</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2.1</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教育培训计划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2.1.1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有年度安全教育培训计划</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2.1.2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有安全教育和培训的记录，并规范存档</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2.2</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活动组织与实施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2.2.1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开展了教职工安全教育与培训，</w:t>
            </w:r>
            <w:r>
              <w:rPr>
                <w:rFonts w:hint="eastAsia"/>
                <w:kern w:val="0"/>
                <w:sz w:val="22"/>
                <w:szCs w:val="21"/>
              </w:rPr>
              <w:t>有资料存档</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2.2.2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开展了研究生安全教育与培训，</w:t>
            </w:r>
            <w:r>
              <w:rPr>
                <w:rFonts w:hint="eastAsia"/>
                <w:kern w:val="0"/>
                <w:sz w:val="22"/>
                <w:szCs w:val="21"/>
              </w:rPr>
              <w:t>有资料存档</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2.2.3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开展了本科生安全教育与培训，</w:t>
            </w:r>
            <w:r>
              <w:rPr>
                <w:rFonts w:hint="eastAsia"/>
                <w:kern w:val="0"/>
                <w:sz w:val="22"/>
                <w:szCs w:val="21"/>
              </w:rPr>
              <w:t>有资料存档</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2.2.4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开展了结合学科特点的应急演练，</w:t>
            </w:r>
            <w:r>
              <w:rPr>
                <w:rFonts w:hint="eastAsia"/>
                <w:kern w:val="0"/>
                <w:sz w:val="22"/>
                <w:szCs w:val="21"/>
              </w:rPr>
              <w:t>有资料存档</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2.3</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实验室安全考试系统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2.3.1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建立了实验室安全考试系统</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2.3.2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组织对教师的考试，有记录</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2.4</w:t>
            </w:r>
          </w:p>
        </w:tc>
        <w:tc>
          <w:tcPr>
            <w:tcW w:w="7780"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宣传</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2.4.1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在本单位主页设立专门的板块开展安全宣传、报道</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2.4.2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设有安全教育宣传窗，或有宣传画、标语、提示等</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2.4.3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与项目相关的每一位成员签订安全承诺书并归档</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2.4.4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通过各种信息平台对师生进行安全方面的知识传输和温馨提醒</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3</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实验室环境与管理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b/>
                <w:kern w:val="0"/>
                <w:szCs w:val="21"/>
              </w:rPr>
            </w:pPr>
            <w:r>
              <w:rPr>
                <w:b/>
                <w:kern w:val="0"/>
                <w:szCs w:val="21"/>
              </w:rPr>
              <w:t>3.1</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3.1.1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每个房间门口挂有安全信息牌，信息包括安全责任人、涉及危险类别、防护措施和有效的应急联系电话等，并及时更新</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3.1.2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实验室应张贴针对危险源的安全警示标识</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kern w:val="0"/>
                <w:szCs w:val="21"/>
              </w:rPr>
            </w:pPr>
            <w:r>
              <w:rPr>
                <w:kern w:val="0"/>
                <w:szCs w:val="21"/>
              </w:rPr>
              <w:t>3.1.3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实验室消防通道通畅，公共场所、通道无堆放仪器、物品现象</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kern w:val="0"/>
                <w:szCs w:val="21"/>
              </w:rPr>
            </w:pPr>
            <w:r>
              <w:rPr>
                <w:kern w:val="0"/>
                <w:szCs w:val="21"/>
              </w:rPr>
              <w:t>3.1.4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实验室门上有</w:t>
            </w:r>
            <w:r>
              <w:rPr>
                <w:rFonts w:hint="eastAsia"/>
                <w:szCs w:val="21"/>
              </w:rPr>
              <w:t>观察窗，外开门不阻挡逃生路径</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kern w:val="0"/>
                <w:szCs w:val="21"/>
              </w:rPr>
            </w:pPr>
            <w:r>
              <w:rPr>
                <w:kern w:val="0"/>
                <w:szCs w:val="21"/>
              </w:rPr>
              <w:t>3.1.5</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kern w:val="0"/>
                <w:szCs w:val="21"/>
              </w:rPr>
            </w:pPr>
            <w:r>
              <w:rPr>
                <w:rFonts w:hint="eastAsia"/>
                <w:kern w:val="0"/>
                <w:szCs w:val="21"/>
              </w:rPr>
              <w:t>所有房间的钥匙有备用，存放在单位办公室或传达室内，由专人管理</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kern w:val="0"/>
                <w:szCs w:val="21"/>
              </w:rPr>
            </w:pPr>
            <w:r>
              <w:rPr>
                <w:kern w:val="0"/>
                <w:szCs w:val="21"/>
              </w:rPr>
              <w:t>3.1.6</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szCs w:val="21"/>
              </w:rPr>
              <w:t>超过</w:t>
            </w:r>
            <w:r>
              <w:rPr>
                <w:szCs w:val="21"/>
              </w:rPr>
              <w:t>200</w:t>
            </w:r>
            <w:r>
              <w:rPr>
                <w:rFonts w:hint="eastAsia"/>
                <w:szCs w:val="21"/>
              </w:rPr>
              <w:t>平米的实验室或楼层应具有至少两处紧急出口</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b/>
                <w:kern w:val="0"/>
                <w:szCs w:val="21"/>
              </w:rPr>
            </w:pPr>
            <w:r>
              <w:rPr>
                <w:b/>
                <w:kern w:val="0"/>
                <w:szCs w:val="21"/>
              </w:rPr>
              <w:t>3.2</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卫生与环境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3.2.1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有毒有害实验区与学习区明确分开，布局合理</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kern w:val="0"/>
                <w:szCs w:val="21"/>
              </w:rPr>
            </w:pPr>
            <w:r>
              <w:rPr>
                <w:kern w:val="0"/>
                <w:szCs w:val="21"/>
              </w:rPr>
              <w:t>3.2.2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kern w:val="0"/>
                <w:szCs w:val="21"/>
              </w:rPr>
            </w:pPr>
            <w:r>
              <w:rPr>
                <w:rFonts w:hint="eastAsia"/>
                <w:kern w:val="0"/>
                <w:szCs w:val="21"/>
              </w:rPr>
              <w:t>实验室物品摆放有序，卫生状况良好；实验完毕物品归位</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kern w:val="0"/>
                <w:szCs w:val="21"/>
              </w:rPr>
            </w:pPr>
            <w:r>
              <w:rPr>
                <w:kern w:val="0"/>
                <w:szCs w:val="21"/>
              </w:rPr>
              <w:t>3.2.3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不存在门开着而无人的现象</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kern w:val="0"/>
                <w:szCs w:val="21"/>
              </w:rPr>
            </w:pPr>
            <w:r>
              <w:rPr>
                <w:kern w:val="0"/>
                <w:szCs w:val="21"/>
              </w:rPr>
              <w:t>3.2.4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kern w:val="0"/>
                <w:szCs w:val="21"/>
              </w:rPr>
            </w:pPr>
            <w:r>
              <w:rPr>
                <w:rFonts w:hint="eastAsia"/>
                <w:kern w:val="0"/>
                <w:szCs w:val="21"/>
              </w:rPr>
              <w:t>无废弃物品（如纸板箱、废电脑、破仪器、破家具等）</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kern w:val="0"/>
                <w:szCs w:val="21"/>
              </w:rPr>
            </w:pPr>
            <w:r>
              <w:rPr>
                <w:b/>
                <w:kern w:val="0"/>
                <w:szCs w:val="21"/>
              </w:rPr>
              <w:t>3.3</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危险品场所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kern w:val="0"/>
                <w:szCs w:val="21"/>
              </w:rPr>
            </w:pPr>
            <w:r>
              <w:rPr>
                <w:kern w:val="0"/>
                <w:szCs w:val="21"/>
              </w:rPr>
              <w:t>3.3.1</w:t>
            </w:r>
          </w:p>
        </w:tc>
        <w:tc>
          <w:tcPr>
            <w:tcW w:w="5599" w:type="dxa"/>
            <w:tcBorders>
              <w:top w:val="single" w:color="auto" w:sz="4" w:space="0"/>
              <w:left w:val="single" w:color="auto" w:sz="4" w:space="0"/>
              <w:bottom w:val="single" w:color="auto" w:sz="4" w:space="0"/>
              <w:right w:val="single" w:color="auto" w:sz="4" w:space="0"/>
            </w:tcBorders>
          </w:tcPr>
          <w:p>
            <w:pPr>
              <w:widowControl/>
              <w:spacing w:line="360" w:lineRule="exact"/>
              <w:rPr>
                <w:kern w:val="0"/>
                <w:szCs w:val="21"/>
              </w:rPr>
            </w:pPr>
            <w:r>
              <w:rPr>
                <w:rFonts w:hint="eastAsia"/>
                <w:szCs w:val="21"/>
              </w:rPr>
              <w:t>照明和消防设施符合国家相关规定，正确配备灭火器材（如灭火器、灭火毯等）</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kern w:val="0"/>
                <w:szCs w:val="21"/>
              </w:rPr>
            </w:pPr>
            <w:r>
              <w:rPr>
                <w:kern w:val="0"/>
                <w:szCs w:val="21"/>
              </w:rPr>
              <w:t>3.3.2</w:t>
            </w:r>
          </w:p>
        </w:tc>
        <w:tc>
          <w:tcPr>
            <w:tcW w:w="5599" w:type="dxa"/>
            <w:tcBorders>
              <w:top w:val="single" w:color="auto" w:sz="4" w:space="0"/>
              <w:left w:val="single" w:color="auto" w:sz="4" w:space="0"/>
              <w:bottom w:val="single" w:color="auto" w:sz="4" w:space="0"/>
              <w:right w:val="single" w:color="auto" w:sz="4" w:space="0"/>
            </w:tcBorders>
          </w:tcPr>
          <w:p>
            <w:pPr>
              <w:widowControl/>
              <w:spacing w:line="360" w:lineRule="exact"/>
              <w:rPr>
                <w:kern w:val="0"/>
                <w:szCs w:val="21"/>
              </w:rPr>
            </w:pPr>
            <w:r>
              <w:rPr>
                <w:rFonts w:hint="eastAsia"/>
                <w:szCs w:val="21"/>
              </w:rPr>
              <w:t>安装监控、报警装置、通风装置和喷淋装置</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kern w:val="0"/>
                <w:szCs w:val="21"/>
              </w:rPr>
            </w:pPr>
            <w:r>
              <w:rPr>
                <w:kern w:val="0"/>
                <w:szCs w:val="21"/>
              </w:rPr>
              <w:t>3.3.3</w:t>
            </w:r>
          </w:p>
        </w:tc>
        <w:tc>
          <w:tcPr>
            <w:tcW w:w="5599" w:type="dxa"/>
            <w:tcBorders>
              <w:top w:val="single" w:color="auto" w:sz="4" w:space="0"/>
              <w:left w:val="single" w:color="auto" w:sz="4" w:space="0"/>
              <w:bottom w:val="single" w:color="auto" w:sz="4" w:space="0"/>
              <w:right w:val="single" w:color="auto" w:sz="4" w:space="0"/>
            </w:tcBorders>
          </w:tcPr>
          <w:p>
            <w:pPr>
              <w:widowControl/>
              <w:spacing w:line="360" w:lineRule="exact"/>
              <w:rPr>
                <w:kern w:val="0"/>
                <w:szCs w:val="21"/>
              </w:rPr>
            </w:pPr>
            <w:r>
              <w:rPr>
                <w:rFonts w:hint="eastAsia"/>
                <w:szCs w:val="21"/>
              </w:rPr>
              <w:t>张贴安全警示标识</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kern w:val="0"/>
                <w:szCs w:val="21"/>
              </w:rPr>
            </w:pPr>
            <w:r>
              <w:rPr>
                <w:kern w:val="0"/>
                <w:szCs w:val="21"/>
              </w:rPr>
              <w:t>3.3.4</w:t>
            </w:r>
          </w:p>
        </w:tc>
        <w:tc>
          <w:tcPr>
            <w:tcW w:w="5599" w:type="dxa"/>
            <w:tcBorders>
              <w:top w:val="single" w:color="auto" w:sz="4" w:space="0"/>
              <w:left w:val="single" w:color="auto" w:sz="4" w:space="0"/>
              <w:bottom w:val="single" w:color="auto" w:sz="4" w:space="0"/>
              <w:right w:val="single" w:color="auto" w:sz="4" w:space="0"/>
            </w:tcBorders>
          </w:tcPr>
          <w:p>
            <w:pPr>
              <w:widowControl/>
              <w:spacing w:line="360" w:lineRule="exact"/>
              <w:rPr>
                <w:kern w:val="0"/>
                <w:szCs w:val="21"/>
              </w:rPr>
            </w:pPr>
            <w:r>
              <w:rPr>
                <w:rFonts w:hint="eastAsia"/>
                <w:szCs w:val="21"/>
              </w:rPr>
              <w:t>化学品、废弃物分类区域明确，规范放置</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kern w:val="0"/>
                <w:szCs w:val="21"/>
              </w:rPr>
            </w:pPr>
            <w:r>
              <w:rPr>
                <w:kern w:val="0"/>
                <w:szCs w:val="21"/>
              </w:rPr>
              <w:t>3.3.5</w:t>
            </w:r>
          </w:p>
        </w:tc>
        <w:tc>
          <w:tcPr>
            <w:tcW w:w="5599" w:type="dxa"/>
            <w:tcBorders>
              <w:top w:val="single" w:color="auto" w:sz="4" w:space="0"/>
              <w:left w:val="single" w:color="auto" w:sz="4" w:space="0"/>
              <w:bottom w:val="single" w:color="auto" w:sz="4" w:space="0"/>
              <w:right w:val="single" w:color="auto" w:sz="4" w:space="0"/>
            </w:tcBorders>
          </w:tcPr>
          <w:p>
            <w:pPr>
              <w:widowControl/>
              <w:spacing w:line="360" w:lineRule="exact"/>
              <w:rPr>
                <w:kern w:val="0"/>
                <w:szCs w:val="21"/>
              </w:rPr>
            </w:pPr>
            <w:r>
              <w:rPr>
                <w:rFonts w:hint="eastAsia"/>
                <w:szCs w:val="21"/>
              </w:rPr>
              <w:t>建立进出库台账</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3.4</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3.4.1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楼层或实验室配备了急救药箱，药箱不上锁、药品在保质期内</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3.4.2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实验室内不放无关物品，如电动车、自行车等</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kern w:val="0"/>
                <w:szCs w:val="21"/>
              </w:rPr>
            </w:pPr>
            <w:r>
              <w:rPr>
                <w:kern w:val="0"/>
                <w:szCs w:val="21"/>
              </w:rPr>
              <w:t>3.4.3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kern w:val="0"/>
                <w:szCs w:val="21"/>
              </w:rPr>
            </w:pPr>
            <w:r>
              <w:rPr>
                <w:rFonts w:hint="eastAsia"/>
                <w:kern w:val="0"/>
                <w:szCs w:val="21"/>
              </w:rPr>
              <w:t>实验室内不存放或烧煮食物、饮食</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3.4.4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不在实验室内睡觉过夜</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3.4.5</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实验室内无吸烟现象</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3.4.6</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化学、生物类实验室不得使用可燃性蚊香。</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3.4.7</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屋顶天花板安全固定</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4</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4.1</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4.1.1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根据实验室情况配置相应的消防器材（烟感报警器、灭火器、灭火毯、消防栓、手动报警器、沙桶等），并正常有效</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4.1.2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实验大楼有逃生线路指示图，并安装了应急指示灯</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4.1.3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灭火器配备数量合理、种类合适，无过期现象，摆放位置利于取用</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4.1.4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重点部位有防盗和监控设施，包括剧毒品、病原微生物和放射源存放点等</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4.2</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应急喷淋装置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4.2.1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化学和生物类实验室有应急喷淋装置和洗眼装置，且正常有效并有巡检记录</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4.2.2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应急喷淋装置水管总阀处常开状，喷头下方无障碍物</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4.2.3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应急喷淋装置水压能保障出水畅通，洗眼装置的水压适中以保证一定的出水高度</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4.2.4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szCs w:val="21"/>
              </w:rPr>
              <w:t>实验室内有毛巾或毛巾毯并置于应急喷淋装置附近，随时可用</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4.3</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4.3.1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配备符合要求的通风系统；对于排放有毒有味废气体的实验室，有吸收过滤装置</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4.3.2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通风系统运行正常，有风速测定等维护、检修记录</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4.3.3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换气扇使用正常</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4.3.4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屋顶风机固定无松动、无异常噪声</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4.3.5</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使用可燃气体场所应采用防爆通风机</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5</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水电安全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5.1</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用电基础安全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5.1.1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插头插座功率需匹配，无私自改装现象</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5.1.2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不乱拉乱接电线，无电线老化、使用花线和木质配电板的现象</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5.1.3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多个大功率仪器不使用同一个接线板</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5.1.4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不能多个接线板串联、接线板不直接放在地面</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5.1.5</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无电源插座未固定、插座插头破损现象</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5.1.6</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大功率仪器（包括空调等）有专用插座，用电负荷满足要求；长期不用时，应拔出电源插头</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5.1.7</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无人状态下，充电器（宝）不能充电过夜</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5.1.8</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水槽边不安装电源插座，如确实需要，应有防护挡板或防护罩</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5.1.9</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实验室和电气设备配备空气开关和漏电保护器</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5.1.10</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电线接头绝缘可靠，无裸露连接线，地板上的导线应有盖板或护套</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5.1.11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加热器采用耐高温阻燃导线</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5.1.12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配电柜</w:t>
            </w:r>
            <w:r>
              <w:rPr>
                <w:kern w:val="0"/>
                <w:szCs w:val="21"/>
              </w:rPr>
              <w:t>/</w:t>
            </w:r>
            <w:r>
              <w:rPr>
                <w:rFonts w:hint="eastAsia"/>
                <w:kern w:val="0"/>
                <w:szCs w:val="21"/>
              </w:rPr>
              <w:t>箱无物品遮挡并便于操作</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5.2</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用水安全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5.2.1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下水道畅通，不存在水龙头、水管破损现象</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5.2.2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各类链接管无老化破损现象（特别是冷却冷凝系统的橡胶管接口处）</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5.2.3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无自来水龙头开着时人离开的现象</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6</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6.1</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化学试剂存放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6.1.1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b/>
                <w:kern w:val="0"/>
                <w:szCs w:val="21"/>
              </w:rPr>
            </w:pPr>
            <w:r>
              <w:rPr>
                <w:rFonts w:hint="eastAsia"/>
                <w:kern w:val="0"/>
                <w:szCs w:val="21"/>
              </w:rPr>
              <w:t>有房间内化学品的动态台帐</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6.1.2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有序分类存放（柜子门上粘贴清单），放置位置便于查找取用</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6.1.3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强酸与强碱、氧化剂与还原剂等分开存放</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6.1.4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固体与液体分开存放（如在同一试剂柜中，液体需放置在下层）</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6.1.5</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化学品不存在叠放现象</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6.1.6</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腐蚀溶剂配有托盘类的二次泄漏防护容器</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6.1.7</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化学试剂标签无脱落、模糊现象</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6.1.8</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存放点通风、隔热、避光、安全；有机溶剂远离热源</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6.1.9</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无存放大桶试剂现象、无大量存放化学试剂现象（用量较大的试剂存量应控制在一周计划用量之内）</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6.1.10</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如单个实验装置存在</w:t>
            </w:r>
            <w:r>
              <w:rPr>
                <w:kern w:val="0"/>
                <w:szCs w:val="21"/>
              </w:rPr>
              <w:t>10L</w:t>
            </w:r>
            <w:r>
              <w:rPr>
                <w:rFonts w:hint="eastAsia"/>
                <w:kern w:val="0"/>
                <w:szCs w:val="21"/>
              </w:rPr>
              <w:t>以上甲类物质储罐，或</w:t>
            </w:r>
            <w:r>
              <w:rPr>
                <w:kern w:val="0"/>
                <w:szCs w:val="21"/>
              </w:rPr>
              <w:t>20L</w:t>
            </w:r>
            <w:r>
              <w:rPr>
                <w:rFonts w:hint="eastAsia"/>
                <w:kern w:val="0"/>
                <w:szCs w:val="21"/>
              </w:rPr>
              <w:t>以上乙类物质储罐，或</w:t>
            </w:r>
            <w:r>
              <w:rPr>
                <w:kern w:val="0"/>
                <w:szCs w:val="21"/>
              </w:rPr>
              <w:t>40L</w:t>
            </w:r>
            <w:r>
              <w:rPr>
                <w:rFonts w:hint="eastAsia"/>
                <w:kern w:val="0"/>
                <w:szCs w:val="21"/>
              </w:rPr>
              <w:t>以上丙类物质储罐，需加装泄露报警器及通风联动装置</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6.1.11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过期药品定期清理，无过期药品累积</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6.1.12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无试剂瓶开口放置现象</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6.1.13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易泄漏、挥发的试剂应存放在具有通风、吸附功能的试剂柜内</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6.2</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剧毒品管理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6.2.1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剧毒品购买前须经公安部门审批，并凭证向具有经营许可资质的单位购买</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6.2.2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校职能部门负责校内审批，并保留资料、建立档案</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6.2.3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配备专门的保险柜并固定，实行双人双锁保管（只有</w:t>
            </w:r>
            <w:r>
              <w:rPr>
                <w:kern w:val="0"/>
                <w:szCs w:val="21"/>
              </w:rPr>
              <w:t>2</w:t>
            </w:r>
            <w:r>
              <w:rPr>
                <w:rFonts w:hint="eastAsia"/>
                <w:kern w:val="0"/>
                <w:szCs w:val="21"/>
              </w:rPr>
              <w:t>名分别掌管了钥匙和密码的保管人同时到场时才能开启保险柜），需配备报警及监控设备</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6.2.4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对于具有高挥发性、低闪点的剧毒品应存放在具有防爆功能的冰箱内，并配备双锁，实行双人双锁保管</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6.2.5</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执行双人收发、双人运输，有记录</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6.2.6</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使用时有两人同时在场，且计量取用后立即放回保险柜，并做好记录（双人签字）</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6.2.7</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有规范的剧毒品处置方法，双人签字记录</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6.2.8</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按有关规定对残余、废弃的剧毒品或空瓶进行处置</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6.2.9</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不得私自从外单位获取剧毒品</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6.3</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其它管控药品的管理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6.3.1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各类管控药品采购有校内报批流程，并建档</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6.3.2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易制毒品购买前须经公安部门审批</w:t>
            </w:r>
            <w:r>
              <w:rPr>
                <w:kern w:val="0"/>
                <w:szCs w:val="21"/>
              </w:rPr>
              <w:t xml:space="preserve">, </w:t>
            </w:r>
            <w:r>
              <w:rPr>
                <w:rFonts w:hint="eastAsia"/>
                <w:kern w:val="0"/>
                <w:szCs w:val="21"/>
              </w:rPr>
              <w:t>并凭证向具有经营许可资质的单位购买</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6.3.3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易制毒品分类存放、专人保管，做好领取、使用、处置记录。其中第一类易制毒品实行</w:t>
            </w:r>
            <w:r>
              <w:rPr>
                <w:kern w:val="0"/>
                <w:szCs w:val="21"/>
              </w:rPr>
              <w:t>“</w:t>
            </w:r>
            <w:r>
              <w:rPr>
                <w:rFonts w:hint="eastAsia"/>
                <w:kern w:val="0"/>
                <w:szCs w:val="21"/>
              </w:rPr>
              <w:t>五双</w:t>
            </w:r>
            <w:r>
              <w:rPr>
                <w:kern w:val="0"/>
                <w:szCs w:val="21"/>
              </w:rPr>
              <w:t>”</w:t>
            </w:r>
            <w:r>
              <w:rPr>
                <w:rFonts w:hint="eastAsia"/>
                <w:kern w:val="0"/>
                <w:szCs w:val="21"/>
              </w:rPr>
              <w:t>管理制度</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6.3.4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易制爆品购买前须经公安部门审批</w:t>
            </w:r>
            <w:r>
              <w:rPr>
                <w:kern w:val="0"/>
                <w:szCs w:val="21"/>
              </w:rPr>
              <w:t xml:space="preserve">, </w:t>
            </w:r>
            <w:r>
              <w:rPr>
                <w:rFonts w:hint="eastAsia"/>
                <w:kern w:val="0"/>
                <w:szCs w:val="21"/>
              </w:rPr>
              <w:t>或按照政府管理的规定要求采购，并向具有经营许可资质的单位购买</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6.3.5</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易制爆品分类存放、专人保管，做好领取、使用、处置记录</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6.3.6</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麻醉药品、精神药品等购买前须向食品药品监督管理部门申请，报批同意后向定点供应商或者定点生产企业采购</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6.3.7</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麻醉品和精神类药品储存于专门的保险柜中，有规范的领取、使用、处置台账</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6.3.8</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爆炸品的采购、运输、存储、使用、销毁按照公安部门的要求执行</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6.4</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6.4.1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有气体钢瓶台帐，钢瓶颜色和字体清楚，在用气体有检验合格标识。需更换的气瓶应有标识</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6.4.2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可燃性气体与氧气等助燃气体不混放</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6.4.3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涉及剧毒、易燃易爆气体的场所，配有通风设施和合适的监控报警装置等；张贴必要的安全警示标识</w:t>
            </w:r>
            <w:r>
              <w:rPr>
                <w:kern w:val="0"/>
                <w:szCs w:val="21"/>
              </w:rPr>
              <w:t xml:space="preserve"> </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6.4.4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szCs w:val="21"/>
              </w:rPr>
              <w:t>大量惰性气体或</w:t>
            </w:r>
            <w:r>
              <w:rPr>
                <w:szCs w:val="21"/>
              </w:rPr>
              <w:t>CO</w:t>
            </w:r>
            <w:r>
              <w:rPr>
                <w:szCs w:val="21"/>
                <w:vertAlign w:val="subscript"/>
              </w:rPr>
              <w:t>2</w:t>
            </w:r>
            <w:r>
              <w:rPr>
                <w:rFonts w:hint="eastAsia"/>
                <w:szCs w:val="21"/>
              </w:rPr>
              <w:t>存放在有限空间内时需加装氧气含量报警器</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6.4.5</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危险气体钢瓶存放点通风、远离热源；无气体钢瓶放在走廊、大厅等公共场所的现象</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6.4.6</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气体钢瓶正确固定，</w:t>
            </w:r>
            <w:r>
              <w:rPr>
                <w:rFonts w:hint="eastAsia"/>
                <w:szCs w:val="21"/>
              </w:rPr>
              <w:t>避免暴晒，钢瓶放置地面平整干燥</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6.4.7</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气体连接管路连接正确、有标识，管路材质选择合适，无破损或老化现象。对于存在多条气体管路的房间张贴了详细的管路图</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6.4.8</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不能带着减压阀移动钢瓶、不得在地上滚动钢瓶</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6.4.9</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时常进行检漏，实验结束后，气体钢瓶总阀已关闭</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6.4.10</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独立的气体钢瓶室有专人管理</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6.4.11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气体钢瓶有定期安全检测标识（由供应商负责进行），无过期气体钢瓶，无大量气体钢瓶堆放现象</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6.5</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化学废弃物处置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6.5.1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与有资质的处置单位（企业）签约处置化学废弃物</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6.5.2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实验室有统一的化学实验废弃物标签，包含废物类别、危险类别、主要成分、产生单位、送储人、日期等信息</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6.5.3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配备了化学实验废弃物分类容器</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6.5.4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对化学废弃物进行了分类存放（应避免易产生剧烈反应的物品混放）、包装严密，并贴好标签</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6.5.5</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定时清运化学实验废弃物，实验室内无大量存放、室外无堆放实验废弃物现象</w:t>
            </w:r>
            <w:r>
              <w:rPr>
                <w:kern w:val="0"/>
                <w:szCs w:val="21"/>
              </w:rPr>
              <w:t xml:space="preserve"> </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6.5.6</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实验废弃物和生活垃圾不混放，不向下水道倾倒废旧化学试剂</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6.5.7</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对于产生有毒和异味废气的，有气体吸收装置</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6.5.8</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锐器废物盛放在纸板箱等不易被刺穿的容器中</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6.6</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6.6.1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学校有统一的试剂标签（用于配置试剂、合成品、样品等），信息包括名称、浓度、责任人、日期、储存条件等</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6.6.2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配置试剂、合成品、样品等标签信息明确</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6.6.3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盛放配置试剂、合成品等的烧杯、烧瓶不得无盖放置</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6.6.4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无使用饮料瓶存放试剂、样品的现象。如确需存放，必须撕去原包装纸，贴上专用标签纸</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6.6.5</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原标签纸未撕去的空试剂瓶中不存放其它化学品的现象（除非将原标签撕去、重新贴上专用标签纸）</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6.6.6</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用于浸泡玻璃器皿的酸缸、碱缸等有盖子盖上</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6.6.7</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不使用破损量筒、试管等玻璃器皿</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6.6.8</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涉及危险化学品的实验室化学品安全技术说明书（</w:t>
            </w:r>
            <w:r>
              <w:rPr>
                <w:kern w:val="0"/>
                <w:szCs w:val="21"/>
              </w:rPr>
              <w:t>MSDS</w:t>
            </w:r>
            <w:r>
              <w:rPr>
                <w:rFonts w:hint="eastAsia"/>
                <w:kern w:val="0"/>
                <w:szCs w:val="21"/>
              </w:rPr>
              <w:t>）或安全周知卡，放在门上</w:t>
            </w:r>
            <w:r>
              <w:rPr>
                <w:kern w:val="0"/>
                <w:szCs w:val="21"/>
              </w:rPr>
              <w:t>/</w:t>
            </w:r>
            <w:r>
              <w:rPr>
                <w:rFonts w:hint="eastAsia"/>
                <w:kern w:val="0"/>
                <w:szCs w:val="21"/>
              </w:rPr>
              <w:t>门边活动袋中</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6.6.9</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危险性化学实验有实验指导书</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6.6.10</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szCs w:val="21"/>
              </w:rPr>
              <w:t>实验室内有吸液（油）棉</w:t>
            </w:r>
            <w:r>
              <w:rPr>
                <w:szCs w:val="21"/>
              </w:rPr>
              <w:t>/</w:t>
            </w:r>
            <w:r>
              <w:rPr>
                <w:rFonts w:hint="eastAsia"/>
                <w:szCs w:val="21"/>
              </w:rPr>
              <w:t>条带</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b/>
                <w:kern w:val="0"/>
                <w:szCs w:val="21"/>
              </w:rPr>
            </w:pPr>
            <w:r>
              <w:rPr>
                <w:b/>
                <w:kern w:val="0"/>
                <w:szCs w:val="21"/>
              </w:rPr>
              <w:t>7</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b/>
                <w:bCs/>
                <w:kern w:val="0"/>
                <w:szCs w:val="21"/>
              </w:rPr>
            </w:pPr>
            <w:r>
              <w:rPr>
                <w:rFonts w:hint="eastAsia"/>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b/>
                <w:kern w:val="0"/>
                <w:szCs w:val="21"/>
              </w:rPr>
            </w:pPr>
            <w:r>
              <w:rPr>
                <w:b/>
                <w:kern w:val="0"/>
                <w:szCs w:val="21"/>
              </w:rPr>
              <w:t>7.1</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b/>
                <w:bCs/>
                <w:kern w:val="0"/>
                <w:szCs w:val="21"/>
              </w:rPr>
            </w:pPr>
            <w:r>
              <w:rPr>
                <w:rFonts w:hint="eastAsia"/>
                <w:b/>
                <w:kern w:val="0"/>
                <w:szCs w:val="21"/>
              </w:rPr>
              <w:t>实验室与人员资质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7.1.1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开展病原微生物相关实验和研究的实验室，须具备相应的安全等级资质和生物危害因子实验活动资格</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7.1.2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开展病原微生物相关实验和研究的人员经过专业培训，并取得相应的</w:t>
            </w:r>
            <w:r>
              <w:rPr>
                <w:kern w:val="0"/>
                <w:szCs w:val="21"/>
              </w:rPr>
              <w:t>“</w:t>
            </w:r>
            <w:r>
              <w:rPr>
                <w:rFonts w:hint="eastAsia"/>
                <w:kern w:val="0"/>
                <w:szCs w:val="21"/>
              </w:rPr>
              <w:t>证书</w:t>
            </w:r>
            <w:r>
              <w:rPr>
                <w:kern w:val="0"/>
                <w:szCs w:val="21"/>
              </w:rPr>
              <w:t>”</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7.1.3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开展病原微生物实验须向卫生或农业主管部门申报备案</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7.1.4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开展未经灭活的高致病性病原微生物（列入一类、二类）相关实验和研究，必须在</w:t>
            </w:r>
            <w:r>
              <w:rPr>
                <w:kern w:val="0"/>
                <w:szCs w:val="21"/>
              </w:rPr>
              <w:t>BSL-3/ABSL-3</w:t>
            </w:r>
            <w:r>
              <w:rPr>
                <w:rFonts w:hint="eastAsia"/>
                <w:kern w:val="0"/>
                <w:szCs w:val="21"/>
              </w:rPr>
              <w:t>、</w:t>
            </w:r>
            <w:r>
              <w:rPr>
                <w:kern w:val="0"/>
                <w:szCs w:val="21"/>
              </w:rPr>
              <w:t>BSL-4/ABSL-4</w:t>
            </w:r>
            <w:r>
              <w:rPr>
                <w:rFonts w:hint="eastAsia"/>
                <w:kern w:val="0"/>
                <w:szCs w:val="21"/>
              </w:rPr>
              <w:t>实验室中进行</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7.1.5</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及以上等级实验室中进行</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7.1.6</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饲养实验动物的场所应有资质证书</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7.1.7</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实验动物需从具有资质的单位购买，具有合格证明</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b/>
                <w:kern w:val="0"/>
                <w:szCs w:val="21"/>
              </w:rPr>
            </w:pPr>
            <w:r>
              <w:rPr>
                <w:b/>
                <w:kern w:val="0"/>
                <w:szCs w:val="21"/>
              </w:rPr>
              <w:t>7.2</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b/>
                <w:bCs/>
                <w:kern w:val="0"/>
                <w:szCs w:val="21"/>
              </w:rPr>
            </w:pPr>
            <w:r>
              <w:rPr>
                <w:rFonts w:hint="eastAsia"/>
                <w:b/>
                <w:kern w:val="0"/>
                <w:szCs w:val="21"/>
              </w:rPr>
              <w:t>设施与场所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7.2.1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实验室安全防范设施达到安全要求，</w:t>
            </w:r>
            <w:r>
              <w:rPr>
                <w:kern w:val="0"/>
                <w:szCs w:val="21"/>
              </w:rPr>
              <w:t>BSL-2/ABSL-2</w:t>
            </w:r>
            <w:r>
              <w:rPr>
                <w:rFonts w:hint="eastAsia"/>
                <w:kern w:val="0"/>
                <w:szCs w:val="21"/>
              </w:rPr>
              <w:t>及以上安全等级实验室须有门禁和准入制度</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7.2.2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配有符合相应生物安全等级要求的生物安全柜，定期检查生物安全柜风速及高效空气微粒过滤器性能，并做好了记录</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7.2.3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储存病原微生物的场所或储柜配备防盗设施，并安装监控报警装置</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7.2.4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有高压灭菌器，并能正常工作</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7.2.5</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安装了防虫纱窗、入口处有挡鼠板</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7.2.6</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传递窗内无物品</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b/>
                <w:kern w:val="0"/>
                <w:szCs w:val="21"/>
              </w:rPr>
            </w:pPr>
            <w:r>
              <w:rPr>
                <w:b/>
                <w:kern w:val="0"/>
                <w:szCs w:val="21"/>
              </w:rPr>
              <w:t>7.3</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b/>
                <w:bCs/>
                <w:kern w:val="0"/>
                <w:szCs w:val="21"/>
              </w:rPr>
            </w:pPr>
            <w:r>
              <w:rPr>
                <w:rFonts w:hint="eastAsia"/>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7.3.1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采购高致病性病原微生物需经学院和学校审批，报行业主管部门批准，有记录</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7.3.2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实验室自行分离的高致病性病原微生物，需按有关规定报卫生或农业主管部门批准，方可保藏</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7.3.3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有病原微生物保藏、实验使用、销毁的记录</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7.3.4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在合适的生物安全柜中进行实验</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7.3.5</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对病原微生物的操作具有相应的个人防护措施</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7.3.6</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BSL-2 /ABSL-2</w:t>
            </w:r>
            <w:r>
              <w:rPr>
                <w:rFonts w:hint="eastAsia"/>
                <w:kern w:val="0"/>
                <w:szCs w:val="21"/>
              </w:rPr>
              <w:t>及以上等级实验室，开展病原微生物的相关实验活动应有风险评估和应急预案</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7.3.7</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szCs w:val="21"/>
              </w:rPr>
              <w:t>禁止戴实验防护手套操作未受潜在感染性生物材料污染的设施设备（包括门窗、开关、仪器、冰箱、电脑、电话等）</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7.3.8</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szCs w:val="21"/>
              </w:rPr>
            </w:pPr>
            <w:r>
              <w:rPr>
                <w:rFonts w:hint="eastAsia"/>
                <w:szCs w:val="21"/>
              </w:rPr>
              <w:t>用于解剖的实验动物须经过检验检疫合格</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7.3.9</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szCs w:val="21"/>
              </w:rPr>
            </w:pPr>
            <w:r>
              <w:rPr>
                <w:rFonts w:hint="eastAsia"/>
                <w:szCs w:val="21"/>
              </w:rPr>
              <w:t>解剖实验动物时，必须做好个人防护</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b/>
                <w:kern w:val="0"/>
                <w:szCs w:val="21"/>
              </w:rPr>
            </w:pPr>
            <w:r>
              <w:rPr>
                <w:b/>
                <w:kern w:val="0"/>
                <w:szCs w:val="21"/>
              </w:rPr>
              <w:t>7.4</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b/>
                <w:bCs/>
                <w:kern w:val="0"/>
                <w:szCs w:val="21"/>
              </w:rPr>
            </w:pPr>
            <w:r>
              <w:rPr>
                <w:rFonts w:hint="eastAsia"/>
                <w:b/>
                <w:kern w:val="0"/>
                <w:szCs w:val="21"/>
              </w:rPr>
              <w:t>生物实验废弃物处置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7.4.1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涉及病原微生物的实验室废弃物必须进行高温高压灭菌或化学浸泡灭菌处理，并有处置的记录。高致病性生物材料废弃物处置实现溯源追踪</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 w:hRule="atLeast"/>
        </w:trPr>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7.4.2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学校有统一的生化固体废弃物标签</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7.4.3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配备了生化固废分类容器（一般生化固废使用黄色塑料袋存放），刀片、移液枪头等尖锐物应使用纸板箱外包装以避免穿透伤人</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kern w:val="0"/>
                <w:szCs w:val="21"/>
              </w:rPr>
              <w:t>7.4.4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Cs w:val="21"/>
              </w:rPr>
            </w:pPr>
            <w:r>
              <w:rPr>
                <w:rFonts w:hint="eastAsia"/>
                <w:kern w:val="0"/>
                <w:szCs w:val="21"/>
              </w:rPr>
              <w:t>对生物实验废弃物</w:t>
            </w:r>
            <w:r>
              <w:rPr>
                <w:rFonts w:hint="eastAsia"/>
                <w:szCs w:val="21"/>
              </w:rPr>
              <w:t>按照是否具有毒性和病原性</w:t>
            </w:r>
            <w:r>
              <w:rPr>
                <w:rFonts w:hint="eastAsia"/>
                <w:kern w:val="0"/>
                <w:szCs w:val="21"/>
              </w:rPr>
              <w:t>进行分类收集，并贴好标签。</w:t>
            </w:r>
            <w:r>
              <w:rPr>
                <w:rFonts w:hint="eastAsia"/>
                <w:szCs w:val="21"/>
              </w:rPr>
              <w:t>对有毒有害废弃物经高温高压处置后</w:t>
            </w:r>
            <w:r>
              <w:rPr>
                <w:rFonts w:hint="eastAsia"/>
                <w:kern w:val="0"/>
                <w:szCs w:val="21"/>
              </w:rPr>
              <w:t>及时送学校中转站或收集点</w:t>
            </w:r>
          </w:p>
        </w:tc>
        <w:tc>
          <w:tcPr>
            <w:tcW w:w="715"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7.4.5</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实验动物实验结束后，送学校中转站或收集点，统一处理</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7.4.6</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与有资质的单位签约处置生化废弃物，有处置记录</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7.4.7</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有毒有害生化实验废弃物和生活垃圾不混放</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
                <w:kern w:val="0"/>
                <w:szCs w:val="21"/>
              </w:rPr>
            </w:pPr>
            <w:r>
              <w:rPr>
                <w:b/>
                <w:kern w:val="0"/>
                <w:szCs w:val="21"/>
              </w:rPr>
              <w:t>8</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
                <w:bCs/>
                <w:kern w:val="0"/>
                <w:szCs w:val="21"/>
              </w:rPr>
            </w:pPr>
            <w:r>
              <w:rPr>
                <w:rFonts w:hint="eastAsia"/>
                <w:b/>
                <w:kern w:val="0"/>
                <w:szCs w:val="21"/>
              </w:rPr>
              <w:t>辐射安全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
                <w:kern w:val="0"/>
                <w:szCs w:val="21"/>
              </w:rPr>
            </w:pPr>
            <w:r>
              <w:rPr>
                <w:b/>
                <w:kern w:val="0"/>
                <w:szCs w:val="21"/>
              </w:rPr>
              <w:t>8.1</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
                <w:bCs/>
                <w:kern w:val="0"/>
                <w:szCs w:val="21"/>
              </w:rPr>
            </w:pPr>
            <w:r>
              <w:rPr>
                <w:rFonts w:hint="eastAsia"/>
                <w:b/>
                <w:kern w:val="0"/>
                <w:szCs w:val="21"/>
              </w:rPr>
              <w:t>实验室资质与人员要求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8.1.1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b/>
                <w:kern w:val="0"/>
                <w:szCs w:val="21"/>
              </w:rPr>
            </w:pPr>
            <w:r>
              <w:rPr>
                <w:rFonts w:hint="eastAsia"/>
                <w:kern w:val="0"/>
                <w:szCs w:val="21"/>
              </w:rPr>
              <w:t>取得</w:t>
            </w:r>
            <w:r>
              <w:rPr>
                <w:kern w:val="0"/>
                <w:szCs w:val="21"/>
              </w:rPr>
              <w:t>“</w:t>
            </w:r>
            <w:r>
              <w:rPr>
                <w:rFonts w:hint="eastAsia"/>
                <w:kern w:val="0"/>
                <w:szCs w:val="21"/>
              </w:rPr>
              <w:t>辐射安全许可证</w:t>
            </w:r>
            <w:r>
              <w:rPr>
                <w:kern w:val="0"/>
                <w:szCs w:val="21"/>
              </w:rPr>
              <w:t>”</w:t>
            </w:r>
            <w:r>
              <w:rPr>
                <w:rFonts w:hint="eastAsia"/>
                <w:kern w:val="0"/>
                <w:szCs w:val="21"/>
              </w:rPr>
              <w:t>，并按规定在放射性核素种类和用量许可范围内开展实验</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8.1.2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放射性操作人员经过了专门培训，有《辐射安全与防护培训学习合格证书》</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8.1.3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涉辐人员按时参加职业体检</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8.1.4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涉辐人员佩带个人剂量计，并按时进行剂量检测（</w:t>
            </w:r>
            <w:r>
              <w:rPr>
                <w:kern w:val="0"/>
                <w:szCs w:val="21"/>
              </w:rPr>
              <w:t>3</w:t>
            </w:r>
            <w:r>
              <w:rPr>
                <w:rFonts w:hint="eastAsia"/>
                <w:kern w:val="0"/>
                <w:szCs w:val="21"/>
              </w:rPr>
              <w:t>个月一次），提供合格的个人剂量检测报告</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
                <w:kern w:val="0"/>
                <w:szCs w:val="21"/>
              </w:rPr>
            </w:pPr>
            <w:r>
              <w:rPr>
                <w:b/>
                <w:kern w:val="0"/>
                <w:szCs w:val="21"/>
              </w:rPr>
              <w:t>8.2</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
                <w:bCs/>
                <w:kern w:val="0"/>
                <w:szCs w:val="21"/>
              </w:rPr>
            </w:pPr>
            <w:r>
              <w:rPr>
                <w:rFonts w:hint="eastAsia"/>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8.2.1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辐照设施设备具有能正常工作的安全连锁装置</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8.2.2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放射源储存库双门双控，并有安全报警系统（与公安部门</w:t>
            </w:r>
            <w:r>
              <w:rPr>
                <w:kern w:val="0"/>
                <w:szCs w:val="21"/>
              </w:rPr>
              <w:t>110</w:t>
            </w:r>
            <w:r>
              <w:rPr>
                <w:rFonts w:hint="eastAsia"/>
                <w:kern w:val="0"/>
                <w:szCs w:val="21"/>
              </w:rPr>
              <w:t>联网）和视频监控系统</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8.2.3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涉辐实验场所（放射性物质、</w:t>
            </w:r>
            <w:r>
              <w:rPr>
                <w:kern w:val="0"/>
                <w:szCs w:val="21"/>
              </w:rPr>
              <w:t>X</w:t>
            </w:r>
            <w:r>
              <w:rPr>
                <w:rFonts w:hint="eastAsia"/>
                <w:kern w:val="0"/>
                <w:szCs w:val="21"/>
              </w:rPr>
              <w:t>射线装置）有安全警示标识、警戒线和剂量报警仪</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8.2.4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涉辐实验场所配备各种辐射防护器材和表面污染监测仪器设备，</w:t>
            </w:r>
            <w:r>
              <w:rPr>
                <w:rFonts w:hint="eastAsia"/>
                <w:szCs w:val="21"/>
              </w:rPr>
              <w:t>有合格的实验场所检测报告</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8.2.5</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有专门存放放射性废弃物的容器和暂存库</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8.2.6</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非密封性放射性实验室有衰减池，</w:t>
            </w:r>
            <w:r>
              <w:rPr>
                <w:rFonts w:hint="eastAsia"/>
                <w:szCs w:val="21"/>
              </w:rPr>
              <w:t>或者有非密封性专门回收处置场所</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
                <w:kern w:val="0"/>
                <w:szCs w:val="21"/>
              </w:rPr>
            </w:pPr>
            <w:r>
              <w:rPr>
                <w:b/>
                <w:kern w:val="0"/>
                <w:szCs w:val="21"/>
              </w:rPr>
              <w:t>8.3</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
                <w:bCs/>
                <w:kern w:val="0"/>
                <w:szCs w:val="21"/>
              </w:rPr>
            </w:pPr>
            <w:r>
              <w:rPr>
                <w:rFonts w:hint="eastAsia"/>
                <w:b/>
                <w:kern w:val="0"/>
                <w:szCs w:val="21"/>
              </w:rPr>
              <w:t>采购、转让转移与运输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8.3.1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放射源和放射性物质的采购和转让转移有学校及政府环保部门的审批备案材料</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8.3.2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放射源和放射性物质的转移和运输有学校及公安部门的审批备案材料</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8.3.3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放射源和放射性物质变更有及时登记台帐</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
                <w:kern w:val="0"/>
                <w:szCs w:val="21"/>
              </w:rPr>
            </w:pPr>
            <w:r>
              <w:rPr>
                <w:b/>
                <w:kern w:val="0"/>
                <w:szCs w:val="21"/>
              </w:rPr>
              <w:t>8.4</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
                <w:bCs/>
                <w:kern w:val="0"/>
                <w:szCs w:val="21"/>
              </w:rPr>
            </w:pPr>
            <w:r>
              <w:rPr>
                <w:rFonts w:hint="eastAsia"/>
                <w:b/>
                <w:kern w:val="0"/>
                <w:szCs w:val="21"/>
              </w:rPr>
              <w:t>放射性实验安全操作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8.4.1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Г</w:t>
            </w:r>
            <w:r>
              <w:rPr>
                <w:rFonts w:hint="eastAsia"/>
                <w:kern w:val="0"/>
                <w:szCs w:val="21"/>
              </w:rPr>
              <w:t>辐照装置有符合国家相关规定的操作规程、安保方案及应急预案，并遵照执行</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8.4.2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电子加速器辐照装置有符合国家相关规定的操作规程、安保方案及应急预案，并遵照执行</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8.4.3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射线探伤仪有符合国家相关规定的操作规程、安保方案及应急预案，并遵照执行</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8.4.4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非密封性放射性实验操作有符合国家相关规定的操作规程，并遵照执行</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
                <w:kern w:val="0"/>
                <w:szCs w:val="21"/>
              </w:rPr>
            </w:pPr>
            <w:r>
              <w:rPr>
                <w:b/>
                <w:kern w:val="0"/>
                <w:szCs w:val="21"/>
              </w:rPr>
              <w:t>8.5</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
                <w:bCs/>
                <w:kern w:val="0"/>
                <w:szCs w:val="21"/>
              </w:rPr>
            </w:pPr>
            <w:r>
              <w:rPr>
                <w:rFonts w:hint="eastAsia"/>
                <w:b/>
                <w:kern w:val="0"/>
                <w:szCs w:val="21"/>
              </w:rPr>
              <w:t>放射性实验废物的处置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8.5.1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报废含有放射源或可产生放射性的设备，需报学校管理部门同意，并按国家规定进行退役处置</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8.5.2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中、长半衰期核素固液废弃物有符合国家相关规定的处置方案或回收协议，并有处置记录</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8.5.3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短半衰期核素固液废弃物放置</w:t>
            </w:r>
            <w:r>
              <w:rPr>
                <w:kern w:val="0"/>
                <w:szCs w:val="21"/>
              </w:rPr>
              <w:t>10</w:t>
            </w:r>
            <w:r>
              <w:rPr>
                <w:rFonts w:hint="eastAsia"/>
                <w:kern w:val="0"/>
                <w:szCs w:val="21"/>
              </w:rPr>
              <w:t>个半衰期经检测达标后作为普通废物处理，并有处置记录</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
                <w:kern w:val="0"/>
                <w:szCs w:val="21"/>
              </w:rPr>
            </w:pPr>
            <w:r>
              <w:rPr>
                <w:b/>
                <w:kern w:val="0"/>
                <w:szCs w:val="21"/>
              </w:rPr>
              <w:t>8.6</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
                <w:bCs/>
                <w:kern w:val="0"/>
                <w:szCs w:val="21"/>
              </w:rPr>
            </w:pPr>
            <w:r>
              <w:rPr>
                <w:rFonts w:hint="eastAsia"/>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8.6.1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bCs/>
                <w:kern w:val="0"/>
                <w:szCs w:val="21"/>
              </w:rPr>
              <w:t>有激光器的安全使用方法，激光设备有激光危害标识</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8.6.2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bCs/>
                <w:kern w:val="0"/>
                <w:szCs w:val="21"/>
              </w:rPr>
              <w:t>功率较大的激光器有互锁装置、防护罩</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8.6.3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Cs/>
                <w:kern w:val="0"/>
                <w:szCs w:val="21"/>
              </w:rPr>
            </w:pPr>
            <w:r>
              <w:rPr>
                <w:rFonts w:hint="eastAsia"/>
                <w:bCs/>
                <w:kern w:val="0"/>
                <w:szCs w:val="21"/>
              </w:rPr>
              <w:t>操作人员有穿戴防护眼镜等防护用品</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8.6.4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Cs/>
                <w:kern w:val="0"/>
                <w:szCs w:val="21"/>
              </w:rPr>
            </w:pPr>
            <w:r>
              <w:rPr>
                <w:rFonts w:hint="eastAsia"/>
                <w:bCs/>
                <w:kern w:val="0"/>
                <w:szCs w:val="21"/>
              </w:rPr>
              <w:t>操作人员不带手表等能反光的物品</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8.6.5</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Cs/>
                <w:kern w:val="0"/>
                <w:szCs w:val="21"/>
              </w:rPr>
            </w:pPr>
            <w:r>
              <w:rPr>
                <w:rFonts w:hint="eastAsia"/>
                <w:bCs/>
                <w:kern w:val="0"/>
                <w:szCs w:val="21"/>
              </w:rPr>
              <w:t>激光照射方向不会对他人造成伤害</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58"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8"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
                <w:kern w:val="0"/>
                <w:szCs w:val="21"/>
              </w:rPr>
            </w:pPr>
            <w:r>
              <w:rPr>
                <w:b/>
                <w:kern w:val="0"/>
                <w:szCs w:val="21"/>
              </w:rPr>
              <w:t>9</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
                <w:bCs/>
                <w:kern w:val="0"/>
                <w:szCs w:val="21"/>
              </w:rPr>
            </w:pPr>
            <w:r>
              <w:rPr>
                <w:rFonts w:hint="eastAsia"/>
                <w:b/>
                <w:kern w:val="0"/>
                <w:szCs w:val="21"/>
              </w:rPr>
              <w:t>仪器设备安全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
                <w:kern w:val="0"/>
                <w:szCs w:val="21"/>
              </w:rPr>
            </w:pPr>
            <w:r>
              <w:rPr>
                <w:b/>
                <w:kern w:val="0"/>
                <w:szCs w:val="21"/>
              </w:rPr>
              <w:t>9.1</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
                <w:bCs/>
                <w:kern w:val="0"/>
                <w:szCs w:val="21"/>
              </w:rPr>
            </w:pPr>
            <w:r>
              <w:rPr>
                <w:rFonts w:hint="eastAsia"/>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9.1.1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建立了设备台帐</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9.1.2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高功率的设备与电路容量相匹配，仪器设备接地良好</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9.1.3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仪器设备使用完后，及时关闭电源，包括电脑显示器电源</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9.1.4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有仪器设备运行、维护的记录</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9.1.5</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对于高温、高压、高速运动、电磁辐射等特殊设备，对使用者有培训要求，有安全操作规程上墙，有安全警示标识和</w:t>
            </w:r>
            <w:r>
              <w:rPr>
                <w:rFonts w:hint="eastAsia"/>
                <w:szCs w:val="21"/>
              </w:rPr>
              <w:t>安全警示线（黄色）</w:t>
            </w:r>
            <w:r>
              <w:rPr>
                <w:rFonts w:hint="eastAsia"/>
                <w:kern w:val="0"/>
                <w:szCs w:val="21"/>
              </w:rPr>
              <w:t>，并配备相应安全防护设施（如防护罩、防护栏、自屏蔽设施等）</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9.1.6</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szCs w:val="21"/>
              </w:rPr>
              <w:t>对于超高速离心机，需要放置在离心室，在离心过程中，工作人员保持合理安全距离</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9.1.7</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无电脑、空调、饮水机等随意开机过夜现象</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9.1.8</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对于不能断电的特殊仪器设备，采取了必要的防护措施（如双路供电、不间断电源、监控报警等）</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9.1.9</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电子天平不放在阳光直射的地方，且用后及时清理</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9.2</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冰箱管理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9.2.1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贮存危险化学品的冰箱为防爆冰箱或经过防爆改造的冰箱，禁止使用无霜冰箱储存易燃易爆试剂</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9.2.2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冰箱内存放的物品必须标识明确（包括品名、使用人、日期等），并经常清理，有清理记录</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9.2.3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冰箱内储存试剂必须密封好</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9.2.4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无冰箱超期服役现象（一般使用期限控制为</w:t>
            </w:r>
            <w:r>
              <w:rPr>
                <w:kern w:val="0"/>
                <w:szCs w:val="21"/>
              </w:rPr>
              <w:t>10</w:t>
            </w:r>
            <w:r>
              <w:rPr>
                <w:rFonts w:hint="eastAsia"/>
                <w:kern w:val="0"/>
                <w:szCs w:val="21"/>
              </w:rPr>
              <w:t>年）</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9.2.5</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不在冰箱周围堆放杂物，影响散热</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9.2.6</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实验室冰箱中不放置食品</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
                <w:kern w:val="0"/>
                <w:szCs w:val="21"/>
              </w:rPr>
            </w:pPr>
            <w:r>
              <w:rPr>
                <w:b/>
                <w:kern w:val="0"/>
                <w:szCs w:val="21"/>
              </w:rPr>
              <w:t>9.3</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
                <w:bCs/>
                <w:kern w:val="0"/>
                <w:szCs w:val="21"/>
              </w:rPr>
            </w:pPr>
            <w:r>
              <w:rPr>
                <w:rFonts w:hint="eastAsia"/>
                <w:b/>
                <w:kern w:val="0"/>
                <w:szCs w:val="21"/>
              </w:rPr>
              <w:t>烘箱与电阻炉管理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9.3.1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烘箱、电阻炉无超期服役现象（一般使用期限控制为</w:t>
            </w:r>
            <w:r>
              <w:rPr>
                <w:kern w:val="0"/>
                <w:szCs w:val="21"/>
              </w:rPr>
              <w:t>12</w:t>
            </w:r>
            <w:r>
              <w:rPr>
                <w:rFonts w:hint="eastAsia"/>
                <w:kern w:val="0"/>
                <w:szCs w:val="21"/>
              </w:rPr>
              <w:t>年）</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9.3.2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不使用有故障、破损的烘箱、电阻炉</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9.3.3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不在烘箱等加热设备内烘烤易燃易爆化学试剂、塑料等易燃物品、不使用塑料筐盛放实验物品在烘箱等加热设备内烘烤</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9.3.4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烘箱、电阻炉等附近不存放气体钢瓶、易燃易爆化学品</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9.3.5</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烘箱、电阻炉等加热设备周围要有一定的散热空间，不存在堆放杂物，影响散热的现象</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9.3.6</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使用烘箱、电阻炉等加热设备时有人值守（或</w:t>
            </w:r>
            <w:r>
              <w:rPr>
                <w:kern w:val="0"/>
                <w:szCs w:val="21"/>
              </w:rPr>
              <w:t>10-14</w:t>
            </w:r>
            <w:r>
              <w:rPr>
                <w:rFonts w:hint="eastAsia"/>
                <w:kern w:val="0"/>
                <w:szCs w:val="21"/>
              </w:rPr>
              <w:t>分钟检查一次）</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9.3.7</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无烘箱位置放置过低、影响物品取用的现象</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9.3.8</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烘箱、电阻炉等不直接放置在木桌、木板等易燃物品上</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9.3.9</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加热设备边上不能放置冰箱、气体钢瓶等</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
                <w:kern w:val="0"/>
                <w:szCs w:val="21"/>
              </w:rPr>
            </w:pPr>
            <w:r>
              <w:rPr>
                <w:b/>
                <w:kern w:val="0"/>
                <w:szCs w:val="21"/>
              </w:rPr>
              <w:t>9.4</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b/>
                <w:bCs/>
                <w:kern w:val="0"/>
                <w:szCs w:val="21"/>
              </w:rPr>
            </w:pPr>
            <w:r>
              <w:rPr>
                <w:rFonts w:hint="eastAsia"/>
                <w:b/>
                <w:kern w:val="0"/>
                <w:szCs w:val="21"/>
              </w:rPr>
              <w:t>明火电炉与电吹风等管理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9.4.1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未经学校安全管理部门许可不使用明火电炉</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567"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kern w:val="0"/>
                <w:szCs w:val="21"/>
              </w:rPr>
              <w:t>9.4.2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kern w:val="0"/>
                <w:szCs w:val="21"/>
              </w:rPr>
            </w:pPr>
            <w:r>
              <w:rPr>
                <w:rFonts w:hint="eastAsia"/>
                <w:kern w:val="0"/>
                <w:szCs w:val="21"/>
              </w:rPr>
              <w:t>有许可证使用明火电炉的，其使用位置周围无易燃物品，并配备了灭火器、砂桶等灭火设施</w:t>
            </w:r>
          </w:p>
        </w:tc>
        <w:tc>
          <w:tcPr>
            <w:tcW w:w="71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c>
          <w:tcPr>
            <w:tcW w:w="1276" w:type="dxa"/>
            <w:gridSpan w:val="3"/>
            <w:tcBorders>
              <w:top w:val="single" w:color="auto" w:sz="4" w:space="0"/>
              <w:left w:val="single" w:color="auto" w:sz="4" w:space="0"/>
              <w:bottom w:val="single" w:color="auto" w:sz="4" w:space="0"/>
              <w:right w:val="single" w:color="auto" w:sz="4" w:space="0"/>
            </w:tcBorders>
          </w:tcPr>
          <w:p>
            <w:pPr>
              <w:widowControl/>
              <w:spacing w:line="3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9.4.3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不使用明火电炉加热易燃易爆溶剂</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36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916"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9.4.4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明火电炉、电吹风、电热枪、电烙铁等用毕，及时拔除电源插头</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36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916"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b/>
                <w:kern w:val="0"/>
                <w:szCs w:val="21"/>
              </w:rPr>
            </w:pPr>
            <w:r>
              <w:rPr>
                <w:b/>
                <w:kern w:val="0"/>
                <w:szCs w:val="21"/>
              </w:rPr>
              <w:t>10</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个人防护与其它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10.1</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正确选用防护用品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10.1.1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凡进入实验室人员需穿长袖实验服或防护服</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36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916"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10.1.2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按需要佩戴防护眼镜（如进行化学实验、有危险的机械操作等）</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36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916"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10.1.3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涉及化学和高温实验时，不得佩戴隐形眼镜</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36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916"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10.1.4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特殊场所按需佩戴安全帽、防护帽，无长发散露在外的现象</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36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916"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10.1.5</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按需要佩戴防护手套（涉及不同的有害化学物质、病原微生物、高温和低温等），并正确选择不同种类和材质的手套</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36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916"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10.1.6</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在特殊的实验室配备和使用呼吸器或面罩（如有挥发性毒物、溅射危险等），并正确选择种类</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36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916"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10.1.7</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防化服分散存放在安全场所，紧急情况下便于取用</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36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916"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kern w:val="0"/>
                <w:szCs w:val="21"/>
              </w:rPr>
            </w:pPr>
            <w:r>
              <w:rPr>
                <w:b/>
                <w:kern w:val="0"/>
                <w:szCs w:val="21"/>
              </w:rPr>
              <w:t>10.2</w:t>
            </w:r>
          </w:p>
        </w:tc>
        <w:tc>
          <w:tcPr>
            <w:tcW w:w="8489"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10.2.1</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危险性实验（如高温、高压、高速运转等）时必须有两人在场</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36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916"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10.2.2</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实验时不能脱岗，通宵实验须两人在场</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36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916"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10.2.3</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不穿拖鞋、短裤进入实验室，不露脚趾</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36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916"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10.2.4</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非实验区（如电梯、办公室、休息室、会议室、餐厅等）无穿戴实验服、实验手套等现象</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36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916"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10.2.5</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操作机床等旋转设备时，不穿戴长围巾、丝巾、领带等</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36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916"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6" w:hRule="atLeast"/>
        </w:trPr>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10.2.6</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手机、银行卡等不带入高磁场实验室</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36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916"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kern w:val="0"/>
                <w:szCs w:val="21"/>
              </w:rPr>
              <w:t>10.2.7</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Cs w:val="21"/>
              </w:rPr>
            </w:pPr>
            <w:r>
              <w:rPr>
                <w:rFonts w:hint="eastAsia"/>
                <w:kern w:val="0"/>
                <w:szCs w:val="21"/>
              </w:rPr>
              <w:t>有规范的实验记录</w:t>
            </w:r>
          </w:p>
        </w:tc>
        <w:tc>
          <w:tcPr>
            <w:tcW w:w="715"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89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36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c>
          <w:tcPr>
            <w:tcW w:w="916"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60" w:hRule="atLeast"/>
        </w:trPr>
        <w:tc>
          <w:tcPr>
            <w:tcW w:w="9315" w:type="dxa"/>
            <w:gridSpan w:val="8"/>
            <w:tcBorders>
              <w:top w:val="single" w:color="auto" w:sz="4" w:space="0"/>
              <w:left w:val="single" w:color="auto" w:sz="4" w:space="0"/>
              <w:bottom w:val="single" w:color="auto" w:sz="4" w:space="0"/>
              <w:right w:val="single" w:color="auto" w:sz="4" w:space="0"/>
            </w:tcBorders>
          </w:tcPr>
          <w:p>
            <w:pPr>
              <w:widowControl/>
              <w:adjustRightInd w:val="0"/>
              <w:spacing w:line="360" w:lineRule="exact"/>
              <w:rPr>
                <w:kern w:val="0"/>
                <w:sz w:val="24"/>
              </w:rPr>
            </w:pPr>
            <w:r>
              <w:rPr>
                <w:rFonts w:hint="eastAsia"/>
                <w:kern w:val="0"/>
                <w:sz w:val="24"/>
              </w:rPr>
              <w:t>评估结果：</w:t>
            </w:r>
          </w:p>
          <w:p>
            <w:pPr>
              <w:widowControl/>
              <w:adjustRightInd w:val="0"/>
              <w:spacing w:line="360" w:lineRule="exact"/>
              <w:ind w:firstLine="475" w:firstLineChars="198"/>
              <w:rPr>
                <w:kern w:val="0"/>
                <w:sz w:val="24"/>
              </w:rPr>
            </w:pPr>
            <w:r>
              <w:rPr>
                <w:rFonts w:hint="eastAsia"/>
                <w:kern w:val="0"/>
                <w:sz w:val="24"/>
              </w:rPr>
              <w:t>针对江汉大学实验室安全风险评估等级指标，经过对所在实验室实地检查，本实验室安全风险等级存在：</w:t>
            </w:r>
          </w:p>
          <w:p>
            <w:pPr>
              <w:widowControl/>
              <w:adjustRightInd w:val="0"/>
              <w:spacing w:line="360" w:lineRule="exact"/>
              <w:ind w:firstLine="480" w:firstLineChars="200"/>
              <w:jc w:val="left"/>
              <w:rPr>
                <w:bCs/>
                <w:sz w:val="24"/>
              </w:rPr>
            </w:pPr>
            <w:r>
              <w:rPr>
                <w:rFonts w:hint="eastAsia" w:ascii="宋体" w:hAnsi="宋体"/>
                <w:sz w:val="24"/>
              </w:rPr>
              <w:t>□特别重大安全风险        □</w:t>
            </w:r>
            <w:r>
              <w:rPr>
                <w:rFonts w:hint="eastAsia"/>
                <w:bCs/>
                <w:sz w:val="24"/>
              </w:rPr>
              <w:t>重大安全风险</w:t>
            </w:r>
            <w:r>
              <w:rPr>
                <w:bCs/>
                <w:sz w:val="24"/>
              </w:rPr>
              <w:t xml:space="preserve">        </w:t>
            </w:r>
            <w:r>
              <w:rPr>
                <w:rFonts w:hint="eastAsia" w:ascii="宋体" w:hAnsi="宋体"/>
                <w:sz w:val="24"/>
              </w:rPr>
              <w:t>□</w:t>
            </w:r>
            <w:r>
              <w:rPr>
                <w:rFonts w:hint="eastAsia"/>
                <w:bCs/>
                <w:sz w:val="24"/>
              </w:rPr>
              <w:t>中等安全风险</w:t>
            </w:r>
          </w:p>
          <w:p>
            <w:pPr>
              <w:widowControl/>
              <w:adjustRightInd w:val="0"/>
              <w:spacing w:line="360" w:lineRule="exact"/>
              <w:rPr>
                <w:b/>
                <w:bCs/>
                <w:kern w:val="0"/>
                <w:sz w:val="30"/>
                <w:szCs w:val="30"/>
              </w:rPr>
            </w:pPr>
            <w:r>
              <w:rPr>
                <w:bCs/>
                <w:sz w:val="24"/>
              </w:rPr>
              <w:t xml:space="preserve">    </w:t>
            </w:r>
            <w:r>
              <w:rPr>
                <w:rFonts w:hint="eastAsia" w:ascii="宋体" w:hAnsi="宋体"/>
                <w:sz w:val="24"/>
              </w:rPr>
              <w:t>□</w:t>
            </w:r>
            <w:r>
              <w:rPr>
                <w:rFonts w:hint="eastAsia"/>
                <w:bCs/>
                <w:sz w:val="24"/>
              </w:rPr>
              <w:t>一般安全风险</w:t>
            </w:r>
            <w:r>
              <w:rPr>
                <w:bCs/>
                <w:sz w:val="24"/>
              </w:rPr>
              <w:t xml:space="preserve">            </w:t>
            </w:r>
            <w:r>
              <w:rPr>
                <w:rFonts w:hint="eastAsia" w:ascii="宋体" w:hAnsi="宋体"/>
                <w:sz w:val="24"/>
              </w:rPr>
              <w:t>□</w:t>
            </w:r>
            <w:r>
              <w:rPr>
                <w:rFonts w:hint="eastAsia"/>
                <w:bCs/>
                <w:sz w:val="24"/>
              </w:rPr>
              <w:t>低安全风险</w:t>
            </w:r>
          </w:p>
          <w:p>
            <w:pPr>
              <w:widowControl/>
              <w:adjustRightInd w:val="0"/>
              <w:spacing w:line="360" w:lineRule="exact"/>
              <w:ind w:firstLine="5460" w:firstLineChars="1950"/>
              <w:rPr>
                <w:bCs/>
                <w:kern w:val="0"/>
                <w:sz w:val="28"/>
                <w:szCs w:val="28"/>
              </w:rPr>
            </w:pPr>
          </w:p>
          <w:p>
            <w:pPr>
              <w:widowControl/>
              <w:adjustRightInd w:val="0"/>
              <w:spacing w:line="360" w:lineRule="exact"/>
              <w:ind w:firstLine="5668" w:firstLineChars="2362"/>
              <w:rPr>
                <w:bCs/>
                <w:kern w:val="0"/>
                <w:sz w:val="24"/>
              </w:rPr>
            </w:pPr>
            <w:r>
              <w:rPr>
                <w:rFonts w:hint="eastAsia"/>
                <w:bCs/>
                <w:kern w:val="0"/>
                <w:sz w:val="24"/>
              </w:rPr>
              <w:t>评估人：</w:t>
            </w:r>
          </w:p>
        </w:tc>
      </w:tr>
    </w:tbl>
    <w:p>
      <w:pPr>
        <w:adjustRightInd w:val="0"/>
        <w:snapToGrid w:val="0"/>
        <w:spacing w:beforeLines="50"/>
        <w:jc w:val="left"/>
        <w:rPr>
          <w:rFonts w:ascii="楷体_GB2312" w:eastAsia="楷体_GB2312"/>
          <w:sz w:val="24"/>
        </w:rPr>
      </w:pPr>
      <w:r>
        <w:rPr>
          <w:rFonts w:hint="eastAsia" w:ascii="楷体_GB2312" w:eastAsia="楷体_GB2312"/>
          <w:sz w:val="24"/>
        </w:rPr>
        <w:t>注：请根据实际情况在“特别重大安全风险”、“重</w:t>
      </w:r>
      <w:r>
        <w:rPr>
          <w:rFonts w:hint="eastAsia" w:ascii="楷体_GB2312" w:eastAsia="楷体_GB2312"/>
          <w:bCs/>
          <w:sz w:val="24"/>
        </w:rPr>
        <w:t>大安全风险</w:t>
      </w:r>
      <w:r>
        <w:rPr>
          <w:rFonts w:hint="eastAsia" w:ascii="楷体_GB2312" w:eastAsia="楷体_GB2312"/>
          <w:sz w:val="24"/>
        </w:rPr>
        <w:t>”、“</w:t>
      </w:r>
      <w:r>
        <w:rPr>
          <w:rFonts w:hint="eastAsia" w:ascii="楷体_GB2312" w:eastAsia="楷体_GB2312"/>
          <w:bCs/>
          <w:sz w:val="24"/>
        </w:rPr>
        <w:t>中等安全风险</w:t>
      </w:r>
      <w:r>
        <w:rPr>
          <w:rFonts w:hint="eastAsia" w:ascii="楷体_GB2312" w:eastAsia="楷体_GB2312"/>
          <w:sz w:val="24"/>
        </w:rPr>
        <w:t>”、“</w:t>
      </w:r>
      <w:r>
        <w:rPr>
          <w:rFonts w:hint="eastAsia" w:ascii="楷体_GB2312" w:eastAsia="楷体_GB2312"/>
          <w:bCs/>
          <w:sz w:val="24"/>
        </w:rPr>
        <w:t>一般安全风险</w:t>
      </w:r>
      <w:r>
        <w:rPr>
          <w:rFonts w:hint="eastAsia" w:ascii="楷体_GB2312" w:eastAsia="楷体_GB2312"/>
          <w:sz w:val="24"/>
        </w:rPr>
        <w:t>”和“</w:t>
      </w:r>
      <w:r>
        <w:rPr>
          <w:rFonts w:hint="eastAsia" w:ascii="楷体_GB2312" w:eastAsia="楷体_GB2312"/>
          <w:bCs/>
          <w:sz w:val="24"/>
        </w:rPr>
        <w:t>低安全风险</w:t>
      </w:r>
      <w:r>
        <w:rPr>
          <w:rFonts w:hint="eastAsia" w:ascii="楷体_GB2312" w:eastAsia="楷体_GB2312"/>
          <w:sz w:val="24"/>
        </w:rPr>
        <w:t>”栏目中划“√”</w:t>
      </w:r>
    </w:p>
    <w:p>
      <w:pPr>
        <w:adjustRightInd w:val="0"/>
        <w:snapToGrid w:val="0"/>
        <w:spacing w:beforeLines="50" w:line="360" w:lineRule="auto"/>
        <w:jc w:val="left"/>
        <w:rPr>
          <w:rFonts w:ascii="宋体" w:hAnsi="宋体" w:eastAsia="宋体"/>
          <w:bCs/>
          <w:sz w:val="28"/>
          <w:szCs w:val="30"/>
        </w:rPr>
      </w:pPr>
      <w:r>
        <w:rPr>
          <w:rFonts w:hint="eastAsia" w:ascii="宋体" w:hAnsi="宋体" w:eastAsia="宋体"/>
          <w:bCs/>
          <w:sz w:val="28"/>
          <w:szCs w:val="30"/>
        </w:rPr>
        <w:t>填表人：                 电话：           邮箱：</w:t>
      </w:r>
    </w:p>
    <w:p>
      <w:pPr>
        <w:adjustRightInd w:val="0"/>
        <w:snapToGrid w:val="0"/>
        <w:spacing w:line="360" w:lineRule="auto"/>
        <w:rPr>
          <w:rFonts w:ascii="宋体" w:hAnsi="宋体" w:eastAsia="宋体"/>
          <w:bCs/>
        </w:rPr>
      </w:pPr>
      <w:r>
        <w:rPr>
          <w:rFonts w:hint="eastAsia" w:ascii="宋体" w:hAnsi="宋体" w:eastAsia="宋体"/>
          <w:bCs/>
          <w:sz w:val="28"/>
          <w:szCs w:val="30"/>
        </w:rPr>
        <w:t>审核（主管领导）人（签字）：               填表时间：</w:t>
      </w:r>
    </w:p>
    <w:p>
      <w:pPr>
        <w:spacing w:line="560" w:lineRule="exact"/>
        <w:ind w:firstLine="640" w:firstLineChars="200"/>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ind w:firstLine="640" w:firstLineChars="200"/>
        <w:rPr>
          <w:rFonts w:eastAsia="仿宋_GB2312"/>
          <w:sz w:val="32"/>
        </w:rPr>
      </w:pPr>
    </w:p>
    <w:p>
      <w:pPr>
        <w:spacing w:line="100" w:lineRule="exact"/>
        <w:ind w:firstLine="640" w:firstLineChars="200"/>
        <w:rPr>
          <w:rFonts w:eastAsia="仿宋_GB2312"/>
          <w:sz w:val="32"/>
        </w:rPr>
      </w:pPr>
    </w:p>
    <w:p>
      <w:pPr>
        <w:spacing w:line="100" w:lineRule="exact"/>
        <w:ind w:firstLine="640" w:firstLineChars="200"/>
        <w:rPr>
          <w:rFonts w:eastAsia="仿宋_GB2312"/>
          <w:sz w:val="32"/>
        </w:rPr>
      </w:pPr>
    </w:p>
    <w:p>
      <w:pPr>
        <w:spacing w:line="100" w:lineRule="exact"/>
        <w:ind w:firstLine="640" w:firstLineChars="200"/>
        <w:rPr>
          <w:rFonts w:eastAsia="仿宋_GB2312"/>
          <w:sz w:val="32"/>
        </w:rPr>
      </w:pPr>
    </w:p>
    <w:p>
      <w:pPr>
        <w:spacing w:line="560" w:lineRule="exact"/>
        <w:ind w:firstLine="420" w:firstLineChars="150"/>
        <w:rPr>
          <w:rFonts w:ascii="Times New Roman" w:hAnsi="Times New Roman" w:eastAsia="仿宋_GB2312" w:cs="Times New Roman"/>
          <w:sz w:val="28"/>
          <w:szCs w:val="28"/>
        </w:rPr>
      </w:pPr>
      <w:r>
        <w:rPr>
          <w:rFonts w:ascii="Times New Roman" w:hAnsi="Times New Roman" w:eastAsia="黑体"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38100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4445">
                          <a:solidFill>
                            <a:srgbClr val="000000"/>
                          </a:solidFill>
                          <a:round/>
                        </a:ln>
                        <a:effectLst/>
                      </wps:spPr>
                      <wps:bodyPr/>
                    </wps:wsp>
                  </a:graphicData>
                </a:graphic>
              </wp:anchor>
            </w:drawing>
          </mc:Choice>
          <mc:Fallback>
            <w:pict>
              <v:line id="_x0000_s1026" o:spid="_x0000_s1026" o:spt="20" style="position:absolute;left:0pt;margin-left:-0.75pt;margin-top:3pt;height:0pt;width:442.2pt;z-index:251662336;mso-width-relative:page;mso-height-relative:page;" filled="f" stroked="t" coordsize="21600,21600" o:gfxdata="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lpPtNUAAAAGAQAADwAAAAAAAAABACAAAAAiAAAAZHJz&#10;L2Rvd25yZXYueG1sUEsBAhQAFAAAAAgAh07iQEedK4/OAQAAagMAAA4AAAAAAAAAAQAgAAAAJAEA&#10;AGRycy9lMm9Eb2MueG1sUEsFBgAAAAAGAAYAWQEAAGQFAAAAAA==&#10;">
                <v:fill on="f" focussize="0,0"/>
                <v:stroke weight="0.35pt" color="#000000" joinstyle="round"/>
                <v:imagedata o:title=""/>
                <o:lock v:ext="edit" aspectratio="f"/>
              </v:line>
            </w:pict>
          </mc:Fallback>
        </mc:AlternateContent>
      </w:r>
      <w:r>
        <w:rPr>
          <w:rFonts w:ascii="Times New Roman" w:hAnsi="Times New Roman" w:eastAsia="仿宋_GB2312" w:cs="Times New Roman"/>
          <w:sz w:val="28"/>
          <w:szCs w:val="28"/>
        </w:rPr>
        <w:t>江汉大学学校办公室              　　2019年10月25日印发</w:t>
      </w:r>
    </w:p>
    <w:p>
      <w:pPr>
        <w:spacing w:line="20" w:lineRule="exact"/>
        <w:ind w:right="945" w:rightChars="450" w:firstLine="400" w:firstLineChars="200"/>
        <w:jc w:val="right"/>
      </w:pPr>
      <w:r>
        <w:rPr>
          <w:rFonts w:eastAsia="黑体"/>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36195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4445">
                          <a:solidFill>
                            <a:srgbClr val="000000"/>
                          </a:solidFill>
                          <a:round/>
                        </a:ln>
                        <a:effectLst/>
                      </wps:spPr>
                      <wps:bodyPr/>
                    </wps:wsp>
                  </a:graphicData>
                </a:graphic>
              </wp:anchor>
            </w:drawing>
          </mc:Choice>
          <mc:Fallback>
            <w:pict>
              <v:line id="_x0000_s1026" o:spid="_x0000_s1026" o:spt="20" style="position:absolute;left:0pt;margin-left:0pt;margin-top:2.85pt;height:0pt;width:442.2pt;z-index:251661312;mso-width-relative:page;mso-height-relative:page;" filled="f" stroked="t" coordsize="21600,21600" o:gfxdata="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VsipLUAAAABAEAAA8AAAAAAAAAAQAgAAAAIgAAAGRycy9k&#10;b3ducmV2LnhtbFBLAQIUABQAAAAIAIdO4kCtt2ZDzQEAAGoDAAAOAAAAAAAAAAEAIAAAACMBAABk&#10;cnMvZTJvRG9jLnhtbFBLBQYAAAAABgAGAFkBAABiBQAAAAA=&#10;">
                <v:fill on="f" focussize="0,0"/>
                <v:stroke weight="0.35pt" color="#000000" joinstyle="round"/>
                <v:imagedata o:title=""/>
                <o:lock v:ext="edit" aspectratio="f"/>
              </v:line>
            </w:pict>
          </mc:Fallback>
        </mc:AlternateContent>
      </w:r>
    </w:p>
    <w:sectPr>
      <w:footerReference r:id="rId6" w:type="first"/>
      <w:headerReference r:id="rId3" w:type="default"/>
      <w:footerReference r:id="rId4" w:type="default"/>
      <w:footerReference r:id="rId5" w:type="even"/>
      <w:pgSz w:w="11906" w:h="16838"/>
      <w:pgMar w:top="2098" w:right="1531" w:bottom="1985" w:left="1531" w:header="851" w:footer="1418" w:gutter="0"/>
      <w:cols w:space="425"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SA">
    <w:panose1 w:val="02010609060101010101"/>
    <w:charset w:val="00"/>
    <w:family w:val="auto"/>
    <w:pitch w:val="default"/>
    <w:sig w:usb0="00000000" w:usb1="00000000" w:usb2="00000000" w:usb3="00000000" w:csb0="00000000" w:csb1="00000000"/>
  </w:font>
  <w:font w:name="FSB">
    <w:panose1 w:val="02010609060101010101"/>
    <w:charset w:val="00"/>
    <w:family w:val="auto"/>
    <w:pitch w:val="default"/>
    <w:sig w:usb0="00000000" w:usb1="00000000" w:usb2="00000000" w:usb3="00000000" w:csb0="00000000" w:csb1="00000000"/>
  </w:font>
  <w:font w:name="STA">
    <w:panose1 w:val="02010600030101010101"/>
    <w:charset w:val="00"/>
    <w:family w:val="auto"/>
    <w:pitch w:val="default"/>
    <w:sig w:usb0="00000000" w:usb1="00000000" w:usb2="00000000" w:usb3="00000000" w:csb0="00000000" w:csb1="00000000"/>
  </w:font>
  <w:font w:name="STB">
    <w:panose1 w:val="02010600030101010101"/>
    <w:charset w:val="00"/>
    <w:family w:val="auto"/>
    <w:pitch w:val="default"/>
    <w:sig w:usb0="00000000" w:usb1="00000000" w:usb2="00000000" w:usb3="00000000" w:csb0="00000000" w:csb1="00000000"/>
  </w:font>
  <w:font w:name="KTB">
    <w:panose1 w:val="02010609060101010101"/>
    <w:charset w:val="00"/>
    <w:family w:val="auto"/>
    <w:pitch w:val="default"/>
    <w:sig w:usb0="00000000" w:usb1="00000000" w:usb2="00000000" w:usb3="00000000" w:csb0="00000000" w:csb1="00000000"/>
  </w:font>
  <w:font w:name="KTA">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56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Pr>
        <w:rFonts w:ascii="Times New Roman" w:hAnsi="Times New Roman" w:cs="Times New Roman"/>
        <w:sz w:val="28"/>
        <w:szCs w:val="28"/>
      </w:rPr>
      <w:t>20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6BE75"/>
    <w:multiLevelType w:val="singleLevel"/>
    <w:tmpl w:val="7536BE75"/>
    <w:lvl w:ilvl="0" w:tentative="0">
      <w:start w:val="2"/>
      <w:numFmt w:val="chineseCounting"/>
      <w:suff w:val="space"/>
      <w:lvlText w:val="第%1条"/>
      <w:lvlJc w:val="left"/>
      <w:pPr>
        <w:ind w:left="0" w:firstLine="0"/>
      </w:pPr>
      <w:rPr>
        <w:rFonts w:ascii="黑体" w:hAnsi="黑体" w:eastAsia="黑体"/>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dit="forms" w:enforcement="1" w:cryptProviderType="rsaFull" w:cryptAlgorithmClass="hash" w:cryptAlgorithmType="typeAny" w:cryptAlgorithmSid="4" w:cryptSpinCount="100000" w:hash="cdJdEG62+R5jMoWFwXasH8XJBtA=" w:salt="TDHsDSoyehfUanC57+UyGw=="/>
  <w:defaultTabStop w:val="420"/>
  <w:evenAndOddHeaders w:val="1"/>
  <w:drawingGridHorizontalSpacing w:val="105"/>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74E4F9DE-6E7B-4F29-84F4-5F8C7C5B947E}" w:val="mpWY1O5qzd6PN/7IE8jaMU=3htwb2DvXALnTF9BVZyJGSxfesiCkRQlu+cgKoH4r0"/>
    <w:docVar w:name="DocumentID" w:val="{E6446851-5C44-402C-91B9-D1E6F6A1499D}"/>
  </w:docVars>
  <w:rsids>
    <w:rsidRoot w:val="4F1C29D7"/>
    <w:rsid w:val="001237EB"/>
    <w:rsid w:val="004C0BFC"/>
    <w:rsid w:val="00595690"/>
    <w:rsid w:val="00877B59"/>
    <w:rsid w:val="008D3464"/>
    <w:rsid w:val="00961926"/>
    <w:rsid w:val="009A3507"/>
    <w:rsid w:val="009C4117"/>
    <w:rsid w:val="00C46726"/>
    <w:rsid w:val="00D02234"/>
    <w:rsid w:val="03C05341"/>
    <w:rsid w:val="4F1C29D7"/>
    <w:rsid w:val="63006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rFonts w:cs="Times New Roman"/>
      <w:kern w:val="0"/>
      <w:sz w:val="24"/>
    </w:rPr>
  </w:style>
  <w:style w:type="character" w:styleId="7">
    <w:name w:val="Strong"/>
    <w:basedOn w:val="6"/>
    <w:qFormat/>
    <w:uiPriority w:val="0"/>
    <w:rPr>
      <w:b/>
    </w:rPr>
  </w:style>
  <w:style w:type="character" w:customStyle="1" w:styleId="9">
    <w:name w:val="页眉 Char1"/>
    <w:basedOn w:val="6"/>
    <w:link w:val="4"/>
    <w:uiPriority w:val="0"/>
    <w:rPr>
      <w:rFonts w:asciiTheme="minorHAnsi" w:hAnsiTheme="minorHAnsi" w:eastAsiaTheme="minorEastAsia" w:cstheme="minorBidi"/>
      <w:kern w:val="2"/>
      <w:sz w:val="18"/>
      <w:szCs w:val="18"/>
    </w:rPr>
  </w:style>
  <w:style w:type="character" w:customStyle="1" w:styleId="10">
    <w:name w:val="页脚 Char1"/>
    <w:basedOn w:val="6"/>
    <w:link w:val="3"/>
    <w:uiPriority w:val="0"/>
    <w:rPr>
      <w:rFonts w:asciiTheme="minorHAnsi" w:hAnsiTheme="minorHAnsi" w:eastAsiaTheme="minorEastAsia" w:cstheme="minorBidi"/>
      <w:kern w:val="2"/>
      <w:sz w:val="18"/>
      <w:szCs w:val="18"/>
    </w:rPr>
  </w:style>
  <w:style w:type="character" w:customStyle="1" w:styleId="11">
    <w:name w:val="页眉 Char"/>
    <w:basedOn w:val="6"/>
    <w:semiHidden/>
    <w:uiPriority w:val="99"/>
    <w:rPr>
      <w:rFonts w:eastAsia="Times New Roman"/>
      <w:sz w:val="18"/>
      <w:szCs w:val="18"/>
    </w:rPr>
  </w:style>
  <w:style w:type="character" w:customStyle="1" w:styleId="12">
    <w:name w:val="页脚 Char"/>
    <w:basedOn w:val="6"/>
    <w:semiHidden/>
    <w:uiPriority w:val="99"/>
    <w:rPr>
      <w:rFonts w:eastAsia="Times New Roman"/>
      <w:sz w:val="18"/>
      <w:szCs w:val="18"/>
    </w:rPr>
  </w:style>
  <w:style w:type="paragraph" w:customStyle="1" w:styleId="13">
    <w:name w:val="msonormal"/>
    <w:basedOn w:val="1"/>
    <w:qFormat/>
    <w:uiPriority w:val="0"/>
    <w:pPr>
      <w:spacing w:before="100" w:beforeAutospacing="1" w:after="100" w:afterAutospacing="1"/>
      <w:jc w:val="left"/>
    </w:pPr>
    <w:rPr>
      <w:rFonts w:cs="Times New Roman"/>
      <w:kern w:val="0"/>
      <w:sz w:val="24"/>
    </w:rPr>
  </w:style>
  <w:style w:type="character" w:customStyle="1" w:styleId="14">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江汉大学</Company>
  <Pages>20</Pages>
  <Words>1979</Words>
  <Characters>11283</Characters>
  <Lines>94</Lines>
  <Paragraphs>26</Paragraphs>
  <TotalTime>203</TotalTime>
  <ScaleCrop>false</ScaleCrop>
  <LinksUpToDate>false</LinksUpToDate>
  <CharactersWithSpaces>13236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2019-10-05T00:57:00Z</dcterms:created>
  <dc:creator>Administrator</dc:creator>
  <cp:lastModifiedBy>Administrator</cp:lastModifiedBy>
  <cp:lastPrinted>2019-12-31T08:27:51Z</cp:lastPrinted>
  <dcterms:modified xsi:type="dcterms:W3CDTF">2020-01-02T04:26:25Z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