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A53" w:rsidRPr="00776F35" w:rsidRDefault="00776F35" w:rsidP="00776F35">
      <w:pPr>
        <w:spacing w:line="560" w:lineRule="exact"/>
        <w:rPr>
          <w:rFonts w:asciiTheme="minorEastAsia" w:hAnsiTheme="minorEastAsia" w:cs="方正准圆简体"/>
          <w:sz w:val="32"/>
          <w:szCs w:val="36"/>
        </w:rPr>
      </w:pPr>
      <w:r w:rsidRPr="00776F35">
        <w:rPr>
          <w:rFonts w:asciiTheme="minorEastAsia" w:hAnsiTheme="minorEastAsia" w:cs="方正准圆简体"/>
          <w:sz w:val="32"/>
          <w:szCs w:val="36"/>
        </w:rPr>
        <w:t>附件</w:t>
      </w:r>
      <w:r w:rsidRPr="00776F35">
        <w:rPr>
          <w:rFonts w:asciiTheme="minorEastAsia" w:hAnsiTheme="minorEastAsia" w:cs="方正准圆简体" w:hint="eastAsia"/>
          <w:sz w:val="32"/>
          <w:szCs w:val="36"/>
        </w:rPr>
        <w:t>1</w:t>
      </w:r>
      <w:r w:rsidRPr="00776F35">
        <w:rPr>
          <w:rFonts w:asciiTheme="minorEastAsia" w:hAnsiTheme="minorEastAsia" w:cs="方正准圆简体"/>
          <w:sz w:val="32"/>
          <w:szCs w:val="36"/>
        </w:rPr>
        <w:t>：</w:t>
      </w:r>
    </w:p>
    <w:p w:rsidR="00BF3A53" w:rsidRDefault="00BF3A53">
      <w:pPr>
        <w:spacing w:line="560" w:lineRule="exact"/>
        <w:jc w:val="center"/>
        <w:rPr>
          <w:rStyle w:val="a7"/>
          <w:rFonts w:ascii="方正小标宋简体" w:eastAsia="方正小标宋简体" w:hAnsi="方正粗圆简体" w:cs="方正粗圆简体"/>
          <w:b w:val="0"/>
          <w:bCs/>
          <w:sz w:val="44"/>
          <w:szCs w:val="44"/>
        </w:rPr>
      </w:pPr>
    </w:p>
    <w:p w:rsidR="00BF3A53" w:rsidRDefault="00776F35">
      <w:pPr>
        <w:spacing w:line="560" w:lineRule="exact"/>
        <w:jc w:val="center"/>
        <w:rPr>
          <w:rStyle w:val="a7"/>
          <w:rFonts w:ascii="方正小标宋简体" w:eastAsia="方正小标宋简体" w:hAnsi="方正粗圆简体" w:cs="方正粗圆简体"/>
          <w:b w:val="0"/>
          <w:bCs/>
          <w:sz w:val="44"/>
          <w:szCs w:val="44"/>
        </w:rPr>
      </w:pPr>
      <w:r>
        <w:rPr>
          <w:rStyle w:val="a7"/>
          <w:rFonts w:ascii="方正小标宋简体" w:eastAsia="方正小标宋简体" w:hAnsi="方正粗圆简体" w:cs="方正粗圆简体" w:hint="eastAsia"/>
          <w:b w:val="0"/>
          <w:bCs/>
          <w:sz w:val="44"/>
          <w:szCs w:val="44"/>
        </w:rPr>
        <w:t>湖北省高校毕业生就业创业课题申报指南</w:t>
      </w:r>
    </w:p>
    <w:p w:rsidR="00BF3A53" w:rsidRDefault="00BF3A53">
      <w:pPr>
        <w:spacing w:line="560" w:lineRule="exact"/>
        <w:jc w:val="center"/>
        <w:rPr>
          <w:rStyle w:val="a7"/>
          <w:rFonts w:ascii="方正小标宋简体" w:eastAsia="方正小标宋简体" w:hAnsi="方正粗圆简体" w:cs="方正粗圆简体"/>
          <w:b w:val="0"/>
          <w:bCs/>
          <w:sz w:val="44"/>
          <w:szCs w:val="44"/>
        </w:rPr>
      </w:pP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1.后疫情时代高校毕业生就业研究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2.湖北省高校毕业生就业形势与发展趋势研究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3.新时代大学生职业理想与职业信念教育体系研究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4.政策性岗位供给现状及开发研究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5.乡村振兴背景下高校毕业生基层就业研究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6.人才强国背景下高校毕业生及时就业研究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7.重点群体高校毕业生就业支持体系研究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8.高校毕业生新业</w:t>
      </w:r>
      <w:proofErr w:type="gramStart"/>
      <w:r>
        <w:rPr>
          <w:rFonts w:ascii="仿宋_GB2312" w:eastAsia="仿宋_GB2312" w:hAnsi="方正准圆简体" w:cs="方正准圆简体" w:hint="eastAsia"/>
          <w:sz w:val="32"/>
          <w:szCs w:val="36"/>
        </w:rPr>
        <w:t>态就业</w:t>
      </w:r>
      <w:proofErr w:type="gramEnd"/>
      <w:r>
        <w:rPr>
          <w:rFonts w:ascii="仿宋_GB2312" w:eastAsia="仿宋_GB2312" w:hAnsi="方正准圆简体" w:cs="方正准圆简体" w:hint="eastAsia"/>
          <w:sz w:val="32"/>
          <w:szCs w:val="36"/>
        </w:rPr>
        <w:t>与灵活就业体制机制研究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9.校友资源开发在高校毕业生就业工作中功能研究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10.公共就业服务进校园政校联动机制研究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11.高校职业生涯发展咨询工作室建设研究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12.高校职业生涯发展与就业指导课程标准建设研究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13.本土化视角下大学生职业生涯教育体系构建研究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14.大学生生涯发展项目化教学设计与实践研究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15.大中小</w:t>
      </w:r>
      <w:proofErr w:type="gramStart"/>
      <w:r>
        <w:rPr>
          <w:rFonts w:ascii="仿宋_GB2312" w:eastAsia="仿宋_GB2312" w:hAnsi="方正准圆简体" w:cs="方正准圆简体" w:hint="eastAsia"/>
          <w:sz w:val="32"/>
          <w:szCs w:val="36"/>
        </w:rPr>
        <w:t>幼</w:t>
      </w:r>
      <w:proofErr w:type="gramEnd"/>
      <w:r>
        <w:rPr>
          <w:rFonts w:ascii="仿宋_GB2312" w:eastAsia="仿宋_GB2312" w:hAnsi="方正准圆简体" w:cs="方正准圆简体" w:hint="eastAsia"/>
          <w:sz w:val="32"/>
          <w:szCs w:val="36"/>
        </w:rPr>
        <w:t>一体化生涯教育体系建设研究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16.以意义诉求为核心的就业指导课程教学与探索</w:t>
      </w:r>
      <w:r w:rsidR="001F1284">
        <w:rPr>
          <w:rFonts w:ascii="仿宋_GB2312" w:eastAsia="仿宋_GB2312" w:hAnsi="方正准圆简体" w:cs="方正准圆简体" w:hint="eastAsia"/>
          <w:sz w:val="32"/>
          <w:szCs w:val="36"/>
        </w:rPr>
        <w:t>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17.基于高质量充分就业的就业能力提升研究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18.高校就业指导规模化与个性化耦合性研究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19.毕业生就业状况与质量跟踪调查研究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20.取消报到</w:t>
      </w:r>
      <w:proofErr w:type="gramStart"/>
      <w:r>
        <w:rPr>
          <w:rFonts w:ascii="仿宋_GB2312" w:eastAsia="仿宋_GB2312" w:hAnsi="方正准圆简体" w:cs="方正准圆简体" w:hint="eastAsia"/>
          <w:sz w:val="32"/>
          <w:szCs w:val="36"/>
        </w:rPr>
        <w:t>证背景</w:t>
      </w:r>
      <w:proofErr w:type="gramEnd"/>
      <w:r>
        <w:rPr>
          <w:rFonts w:ascii="仿宋_GB2312" w:eastAsia="仿宋_GB2312" w:hAnsi="方正准圆简体" w:cs="方正准圆简体" w:hint="eastAsia"/>
          <w:sz w:val="32"/>
          <w:szCs w:val="36"/>
        </w:rPr>
        <w:t>下就业统计与监测研究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lastRenderedPageBreak/>
        <w:t>21.高校就业工作评价机制研究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22.质量强国背景下高校“招生-培养-就业”联动机制研究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23.高校毕业生就业质量标准体系与就业指数的相关研究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24.建设世界创新高地背景下高校大学生创新创业研究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25.高校-社会协同培育大学生创新创业能力机制研究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26.完善促进创业带动就业的保障制度研究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27.大学生创业胜任力研究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28.教育数字化背景下高校创新创业教育的变革管理与路径规划</w:t>
      </w:r>
      <w:r w:rsidR="001F1284">
        <w:rPr>
          <w:rFonts w:ascii="仿宋_GB2312" w:eastAsia="仿宋_GB2312" w:hAnsi="方正准圆简体" w:cs="方正准圆简体" w:hint="eastAsia"/>
          <w:sz w:val="32"/>
          <w:szCs w:val="36"/>
        </w:rPr>
        <w:t>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29.创新创业教育与专业教育融合课程设计研究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30.创业信息素养的概念内涵、层次结构与培养模式研究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31.基于高校创新创业教育实践构建优创社群体系研究</w:t>
      </w:r>
    </w:p>
    <w:p w:rsidR="00BF3A53" w:rsidRDefault="00776F35">
      <w:pPr>
        <w:spacing w:line="560" w:lineRule="exact"/>
        <w:rPr>
          <w:rFonts w:ascii="仿宋_GB2312" w:eastAsia="仿宋_GB2312" w:hAnsi="方正准圆简体" w:cs="方正准圆简体"/>
          <w:sz w:val="32"/>
          <w:szCs w:val="36"/>
        </w:rPr>
      </w:pPr>
      <w:r>
        <w:rPr>
          <w:rFonts w:ascii="仿宋_GB2312" w:eastAsia="仿宋_GB2312" w:hAnsi="方正准圆简体" w:cs="方正准圆简体" w:hint="eastAsia"/>
          <w:sz w:val="32"/>
          <w:szCs w:val="36"/>
        </w:rPr>
        <w:t>32.乡村振兴背景</w:t>
      </w:r>
      <w:bookmarkStart w:id="0" w:name="_GoBack"/>
      <w:bookmarkEnd w:id="0"/>
      <w:r>
        <w:rPr>
          <w:rFonts w:ascii="仿宋_GB2312" w:eastAsia="仿宋_GB2312" w:hAnsi="方正准圆简体" w:cs="方正准圆简体" w:hint="eastAsia"/>
          <w:sz w:val="32"/>
          <w:szCs w:val="36"/>
        </w:rPr>
        <w:t>下创新创业教育机制探索研究</w:t>
      </w:r>
    </w:p>
    <w:sectPr w:rsidR="00BF3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圆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RlM2FkYTA0MGZmNjJjYTJmMWZhMTRmYzU4MjNlZWUifQ=="/>
  </w:docVars>
  <w:rsids>
    <w:rsidRoot w:val="0ECE0745"/>
    <w:rsid w:val="00143E15"/>
    <w:rsid w:val="001F1284"/>
    <w:rsid w:val="00295FB1"/>
    <w:rsid w:val="002A49FA"/>
    <w:rsid w:val="00300E57"/>
    <w:rsid w:val="003747BB"/>
    <w:rsid w:val="00521AD6"/>
    <w:rsid w:val="0067207A"/>
    <w:rsid w:val="007222A0"/>
    <w:rsid w:val="00776F35"/>
    <w:rsid w:val="00B003BF"/>
    <w:rsid w:val="00BF3A53"/>
    <w:rsid w:val="00C377F7"/>
    <w:rsid w:val="00C65AD6"/>
    <w:rsid w:val="00DC04F5"/>
    <w:rsid w:val="00E84942"/>
    <w:rsid w:val="00EB3973"/>
    <w:rsid w:val="05817772"/>
    <w:rsid w:val="0ECE0745"/>
    <w:rsid w:val="29763EBB"/>
    <w:rsid w:val="2FCC6F2B"/>
    <w:rsid w:val="480A7595"/>
    <w:rsid w:val="54ED5364"/>
    <w:rsid w:val="792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52661"/>
  <w15:docId w15:val="{44BAFC7F-8156-40C1-B0FD-2B766D53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1F1284"/>
    <w:rPr>
      <w:sz w:val="18"/>
      <w:szCs w:val="18"/>
    </w:rPr>
  </w:style>
  <w:style w:type="character" w:customStyle="1" w:styleId="a9">
    <w:name w:val="批注框文本 字符"/>
    <w:basedOn w:val="a0"/>
    <w:link w:val="a8"/>
    <w:rsid w:val="001F12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langdp</dc:creator>
  <cp:lastModifiedBy>Administrator</cp:lastModifiedBy>
  <cp:revision>8</cp:revision>
  <cp:lastPrinted>2023-03-13T02:45:00Z</cp:lastPrinted>
  <dcterms:created xsi:type="dcterms:W3CDTF">2023-02-06T09:29:00Z</dcterms:created>
  <dcterms:modified xsi:type="dcterms:W3CDTF">2023-03-13T02:45:00Z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CFE0EAA7E0434F96A704CE24EC490D40</vt:lpwstr>
  </property>
</Properties>
</file>