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CESI黑体-GB13000" w:cs="Times New Roman"/>
          <w:sz w:val="44"/>
          <w:szCs w:val="44"/>
        </w:rPr>
      </w:pPr>
      <w:r>
        <w:rPr>
          <w:rFonts w:hint="default" w:ascii="Times New Roman" w:hAnsi="Times New Roman" w:eastAsia="CESI黑体-GB13000" w:cs="Times New Roman"/>
          <w:sz w:val="44"/>
          <w:szCs w:val="44"/>
        </w:rPr>
        <w:t>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CESI黑体-GB13000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5"/>
        <w:textAlignment w:val="auto"/>
        <w:outlineLvl w:val="1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val="en-US" w:eastAsia="zh-CN"/>
        </w:rPr>
        <w:t>2024年</w:t>
      </w:r>
      <w:r>
        <w:rPr>
          <w:rFonts w:hint="default" w:ascii="CESI仿宋-GB13000" w:hAnsi="CESI仿宋-GB13000" w:eastAsia="CESI仿宋-GB13000" w:cs="CESI仿宋-GB13000"/>
          <w:b/>
          <w:bCs/>
          <w:sz w:val="32"/>
          <w:szCs w:val="32"/>
        </w:rPr>
        <w:t>省新型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智库课题为湖北省社科基金重点课题，共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项</w:t>
      </w: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  <w:t>，面向省新型智库及智库培育单位公开发布。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5"/>
        <w:textAlignment w:val="auto"/>
        <w:outlineLvl w:val="1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1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. 以流域综合治理推进中国式现代化湖北实践研究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2.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 xml:space="preserve"> 湖北加快发展新质生产力若干重大问题研究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（深刻把握新质生产力的时代内涵，着眼事关新质生产力发展的科技创新、新型工业化、绿色发展、全面深化改革、激发生产力要素活力等重大问题，深入分析束缚我省新质生产力发展中的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堵点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卡点问题，提出对策建议）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3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. 长江中游城市群协同发展研究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4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. 推动湖北发展实现聚势提升的对策研究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5. 以科技创新引领湖北现代化产业体系建设路径研究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6.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以“用”为导向的科技创新供应链平台建设路径研究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7.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湖北数据要素市场化配置改革研究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（分析湖北数字生态基础，提出全面加强我省数字生态建设思路；结合外省先进经验，围绕湖北数据交易流通制度建设、公共数据运营管理、数据要素市场培育提出具体方案；聚焦湖北特色产业，形成湖北政务服务增值化改革工作方案；探索以文化数据资产开发利用促进传统文化资源保护与传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8.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湖北城市数字公共基础设施建设研究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9.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湖北打造全国人工智能产业发展新高地路径研究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10.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湖北城镇与产业“双集中”发展路径研究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11.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以优质农产品品牌建设推动湖北实施农业强省战略路径研究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12.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湖北文旅产业绿色转型发展研究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13.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深入挖掘荆楚文化精神特质，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凝练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新时代湖北精神标识研究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14.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打造湖北长江文化品牌高地路径研究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15.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湖北省中医药科技创新体系建设和产业发展路径研究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16.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打造全国高端工业母机战略基地路径研究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17.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以突破性发展光电子产业推动中国光谷建成世界光谷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18.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落实人才强省战略，着力优化人才生态路径研究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19.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湖北民营企业做大做强的挑战与对策研究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20.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以政法工作现代化支撑和服务中国式现代化湖北实践有关问题研究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（政法工作实现思想观念、工作体系、工作能力现代化的具体路径，政法工作支撑和服务中国式现代化湖北实践中应当有何作为、如何作为）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21.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新时代湖北宗教事务治理问题与对策研究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22.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湖北教育减负及教育高质量发展研究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23.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湖北人口老龄化发展趋势及影响研究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（分析老龄化对湖北高质量发展的冲击，提出湖北构建与人口老龄化相适应的现代化产业发展应对策略；探索县域养老、医疗资源最优配置模式，构建县域老龄事业发展指标体系）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24.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湖北省林耕空间优化调整和整治提升路径研究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C06FB"/>
    <w:rsid w:val="0B2F7AA9"/>
    <w:rsid w:val="109123BE"/>
    <w:rsid w:val="14396CF6"/>
    <w:rsid w:val="1583187F"/>
    <w:rsid w:val="1FEF31B0"/>
    <w:rsid w:val="252762BF"/>
    <w:rsid w:val="2FE95D38"/>
    <w:rsid w:val="3597246A"/>
    <w:rsid w:val="468E19C7"/>
    <w:rsid w:val="6139695D"/>
    <w:rsid w:val="62F37273"/>
    <w:rsid w:val="6FFE2A0C"/>
    <w:rsid w:val="70516DA4"/>
    <w:rsid w:val="73946133"/>
    <w:rsid w:val="73A55A80"/>
    <w:rsid w:val="77CA5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盛茂</cp:lastModifiedBy>
  <dcterms:modified xsi:type="dcterms:W3CDTF">2024-03-20T02:06:52Z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211A347D21AA4A22BBA0D27EF2963B71</vt:lpwstr>
  </property>
</Properties>
</file>